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both"/>
        <w:rPr>
          <w:rFonts w:hint="eastAsia" w:ascii="宋体" w:hAnsi="宋体" w:eastAsia="宋体" w:cs="宋体"/>
          <w:highlight w:val="none"/>
        </w:rPr>
      </w:pPr>
    </w:p>
    <w:p>
      <w:pPr>
        <w:spacing w:line="300" w:lineRule="auto"/>
        <w:ind w:left="300"/>
        <w:jc w:val="both"/>
        <w:rPr>
          <w:rFonts w:hint="eastAsia" w:ascii="宋体" w:hAnsi="宋体" w:eastAsia="宋体" w:cs="宋体"/>
          <w:b/>
          <w:bCs/>
          <w:sz w:val="44"/>
          <w:szCs w:val="44"/>
          <w:highlight w:val="none"/>
          <w:lang w:eastAsia="zh-CN"/>
        </w:rPr>
      </w:pPr>
    </w:p>
    <w:p>
      <w:pPr>
        <w:spacing w:line="300" w:lineRule="auto"/>
        <w:ind w:left="300"/>
        <w:jc w:val="both"/>
        <w:rPr>
          <w:rFonts w:hint="eastAsia" w:ascii="宋体" w:hAnsi="宋体" w:eastAsia="宋体" w:cs="宋体"/>
          <w:highlight w:val="none"/>
          <w:lang w:eastAsia="zh-CN"/>
        </w:rPr>
      </w:pPr>
    </w:p>
    <w:p>
      <w:pPr>
        <w:spacing w:line="300" w:lineRule="auto"/>
        <w:ind w:left="300"/>
        <w:jc w:val="both"/>
        <w:rPr>
          <w:rFonts w:hint="eastAsia" w:ascii="宋体" w:hAnsi="宋体" w:eastAsia="宋体" w:cs="宋体"/>
          <w:highlight w:val="none"/>
          <w:lang w:eastAsia="zh-CN"/>
        </w:rPr>
      </w:pPr>
    </w:p>
    <w:p>
      <w:pPr>
        <w:jc w:val="center"/>
        <w:rPr>
          <w:rFonts w:hint="eastAsia" w:ascii="宋体" w:hAnsi="宋体" w:eastAsia="宋体" w:cs="宋体"/>
          <w:b/>
          <w:spacing w:val="40"/>
          <w:sz w:val="72"/>
          <w:szCs w:val="72"/>
          <w:highlight w:val="none"/>
        </w:rPr>
      </w:pPr>
      <w:r>
        <w:rPr>
          <w:rFonts w:hint="eastAsia" w:ascii="宋体" w:hAnsi="宋体" w:eastAsia="宋体" w:cs="宋体"/>
          <w:b/>
          <w:spacing w:val="40"/>
          <w:sz w:val="72"/>
          <w:szCs w:val="72"/>
          <w:highlight w:val="none"/>
        </w:rPr>
        <w:t>单一来源采购</w:t>
      </w:r>
    </w:p>
    <w:p>
      <w:pPr>
        <w:jc w:val="center"/>
        <w:rPr>
          <w:rFonts w:hint="eastAsia" w:ascii="宋体" w:hAnsi="宋体" w:eastAsia="宋体" w:cs="宋体"/>
          <w:b/>
          <w:spacing w:val="40"/>
          <w:sz w:val="72"/>
          <w:szCs w:val="72"/>
          <w:highlight w:val="none"/>
        </w:rPr>
      </w:pPr>
      <w:r>
        <w:rPr>
          <w:rFonts w:hint="eastAsia" w:ascii="宋体" w:hAnsi="宋体" w:eastAsia="宋体" w:cs="宋体"/>
          <w:b/>
          <w:spacing w:val="40"/>
          <w:sz w:val="72"/>
          <w:szCs w:val="72"/>
          <w:highlight w:val="none"/>
        </w:rPr>
        <w:t>协商文件</w:t>
      </w:r>
    </w:p>
    <w:p>
      <w:pPr>
        <w:spacing w:after="750" w:line="300" w:lineRule="auto"/>
        <w:jc w:val="both"/>
        <w:rPr>
          <w:rFonts w:hint="eastAsia" w:ascii="宋体" w:hAnsi="宋体" w:eastAsia="宋体" w:cs="宋体"/>
          <w:b/>
          <w:bCs/>
          <w:sz w:val="84"/>
          <w:szCs w:val="84"/>
          <w:highlight w:val="none"/>
          <w:lang w:eastAsia="zh-CN"/>
        </w:rPr>
      </w:pPr>
      <w:r>
        <w:rPr>
          <w:rFonts w:hint="eastAsia" w:ascii="宋体" w:hAnsi="宋体" w:eastAsia="宋体" w:cs="宋体"/>
          <w:b/>
          <w:bCs/>
          <w:sz w:val="84"/>
          <w:szCs w:val="84"/>
          <w:highlight w:val="none"/>
          <w:lang w:eastAsia="zh-CN"/>
        </w:rPr>
        <w:t xml:space="preserve"> </w:t>
      </w:r>
    </w:p>
    <w:p>
      <w:pPr>
        <w:spacing w:line="300" w:lineRule="auto"/>
        <w:jc w:val="both"/>
        <w:rPr>
          <w:rFonts w:hint="eastAsia" w:ascii="宋体" w:hAnsi="宋体" w:eastAsia="宋体" w:cs="宋体"/>
          <w:highlight w:val="none"/>
          <w:lang w:eastAsia="zh-CN"/>
        </w:rPr>
      </w:pPr>
    </w:p>
    <w:p>
      <w:pPr>
        <w:spacing w:line="300" w:lineRule="auto"/>
        <w:jc w:val="both"/>
        <w:rPr>
          <w:rFonts w:hint="eastAsia" w:ascii="宋体" w:hAnsi="宋体" w:eastAsia="宋体" w:cs="宋体"/>
          <w:highlight w:val="none"/>
          <w:lang w:eastAsia="zh-CN"/>
        </w:rPr>
      </w:pPr>
    </w:p>
    <w:p>
      <w:pPr>
        <w:spacing w:line="300" w:lineRule="auto"/>
        <w:jc w:val="both"/>
        <w:rPr>
          <w:rFonts w:hint="eastAsia" w:ascii="宋体" w:hAnsi="宋体" w:eastAsia="宋体" w:cs="宋体"/>
          <w:highlight w:val="none"/>
          <w:lang w:eastAsia="zh-CN"/>
        </w:rPr>
      </w:pPr>
    </w:p>
    <w:p>
      <w:pPr>
        <w:spacing w:line="300" w:lineRule="auto"/>
        <w:jc w:val="both"/>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640" w:firstLineChars="200"/>
        <w:jc w:val="both"/>
        <w:textAlignment w:val="auto"/>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项目编号：</w:t>
      </w:r>
      <w:r>
        <w:rPr>
          <w:rFonts w:hint="eastAsia" w:ascii="宋体" w:hAnsi="宋体" w:eastAsia="宋体" w:cs="宋体"/>
          <w:sz w:val="32"/>
          <w:szCs w:val="32"/>
          <w:highlight w:val="yellow"/>
          <w:lang w:eastAsia="zh-CN"/>
        </w:rPr>
        <w:t>LW2022LS10004D</w:t>
      </w:r>
    </w:p>
    <w:p>
      <w:pPr>
        <w:keepNext w:val="0"/>
        <w:keepLines w:val="0"/>
        <w:pageBreakBefore w:val="0"/>
        <w:widowControl/>
        <w:kinsoku/>
        <w:wordWrap/>
        <w:overflowPunct/>
        <w:topLinePunct w:val="0"/>
        <w:autoSpaceDE/>
        <w:autoSpaceDN/>
        <w:bidi w:val="0"/>
        <w:adjustRightInd/>
        <w:snapToGrid/>
        <w:spacing w:line="300" w:lineRule="auto"/>
        <w:ind w:left="2238" w:leftChars="266" w:hanging="1600" w:hangingChars="500"/>
        <w:jc w:val="both"/>
        <w:textAlignment w:val="auto"/>
        <w:rPr>
          <w:rFonts w:hint="eastAsia" w:ascii="宋体" w:hAnsi="宋体" w:eastAsia="宋体" w:cs="宋体"/>
          <w:sz w:val="32"/>
          <w:szCs w:val="32"/>
          <w:highlight w:val="yellow"/>
          <w:lang w:eastAsia="zh-CN"/>
        </w:rPr>
      </w:pPr>
      <w:r>
        <w:rPr>
          <w:rFonts w:hint="eastAsia" w:ascii="宋体" w:hAnsi="宋体" w:eastAsia="宋体" w:cs="宋体"/>
          <w:sz w:val="32"/>
          <w:szCs w:val="32"/>
          <w:highlight w:val="none"/>
          <w:lang w:eastAsia="zh-CN"/>
        </w:rPr>
        <w:t>项目名称：</w:t>
      </w:r>
      <w:r>
        <w:rPr>
          <w:rFonts w:hint="eastAsia" w:ascii="宋体" w:hAnsi="宋体" w:eastAsia="宋体" w:cs="宋体"/>
          <w:sz w:val="32"/>
          <w:szCs w:val="32"/>
          <w:highlight w:val="yellow"/>
          <w:lang w:eastAsia="zh-CN"/>
        </w:rPr>
        <w:t>2022年广州市荔湾区级储备粮承储招标</w:t>
      </w:r>
    </w:p>
    <w:p>
      <w:pPr>
        <w:keepNext w:val="0"/>
        <w:keepLines w:val="0"/>
        <w:pageBreakBefore w:val="0"/>
        <w:widowControl/>
        <w:kinsoku/>
        <w:wordWrap/>
        <w:overflowPunct/>
        <w:topLinePunct w:val="0"/>
        <w:autoSpaceDE/>
        <w:autoSpaceDN/>
        <w:bidi w:val="0"/>
        <w:adjustRightInd/>
        <w:snapToGrid/>
        <w:spacing w:line="300" w:lineRule="auto"/>
        <w:ind w:left="2234" w:leftChars="931" w:firstLine="0" w:firstLineChars="0"/>
        <w:jc w:val="both"/>
        <w:textAlignment w:val="auto"/>
        <w:rPr>
          <w:rFonts w:hint="eastAsia" w:ascii="宋体" w:hAnsi="宋体" w:eastAsia="宋体" w:cs="宋体"/>
          <w:sz w:val="32"/>
          <w:szCs w:val="32"/>
          <w:highlight w:val="none"/>
          <w:lang w:eastAsia="zh-CN"/>
        </w:rPr>
      </w:pPr>
      <w:r>
        <w:rPr>
          <w:rFonts w:hint="eastAsia" w:ascii="宋体" w:hAnsi="宋体" w:eastAsia="宋体" w:cs="宋体"/>
          <w:sz w:val="32"/>
          <w:szCs w:val="32"/>
          <w:highlight w:val="yellow"/>
          <w:lang w:eastAsia="zh-CN"/>
        </w:rPr>
        <w:t>项目（三次）</w:t>
      </w:r>
      <w:r>
        <w:rPr>
          <w:rFonts w:hint="eastAsia" w:ascii="宋体" w:hAnsi="宋体" w:eastAsia="宋体" w:cs="宋体"/>
          <w:sz w:val="32"/>
          <w:szCs w:val="32"/>
          <w:highlight w:val="none"/>
          <w:lang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ind w:firstLine="640" w:firstLineChars="200"/>
        <w:jc w:val="both"/>
        <w:textAlignment w:val="auto"/>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 xml:space="preserve">项目类型：货物类 </w:t>
      </w:r>
    </w:p>
    <w:p>
      <w:pPr>
        <w:spacing w:after="750" w:line="300" w:lineRule="auto"/>
        <w:ind w:left="750"/>
        <w:jc w:val="both"/>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lang w:eastAsia="zh-CN"/>
        </w:rPr>
        <w:t xml:space="preserve"> </w:t>
      </w:r>
    </w:p>
    <w:p>
      <w:pPr>
        <w:spacing w:after="30" w:line="300" w:lineRule="auto"/>
        <w:jc w:val="center"/>
        <w:rPr>
          <w:rFonts w:hint="eastAsia" w:ascii="宋体" w:hAnsi="宋体" w:eastAsia="宋体" w:cs="宋体"/>
          <w:b/>
          <w:bCs/>
          <w:spacing w:val="75"/>
          <w:sz w:val="32"/>
          <w:szCs w:val="32"/>
          <w:highlight w:val="none"/>
          <w:lang w:eastAsia="zh-CN"/>
        </w:rPr>
      </w:pPr>
      <w:r>
        <w:rPr>
          <w:rFonts w:hint="eastAsia" w:ascii="宋体" w:hAnsi="宋体" w:eastAsia="宋体" w:cs="宋体"/>
          <w:b/>
          <w:bCs/>
          <w:spacing w:val="75"/>
          <w:sz w:val="32"/>
          <w:szCs w:val="32"/>
          <w:highlight w:val="none"/>
          <w:lang w:eastAsia="zh-CN"/>
        </w:rPr>
        <w:t>广州农村产权交易所有限公司</w:t>
      </w:r>
    </w:p>
    <w:p>
      <w:pPr>
        <w:spacing w:after="30" w:line="300" w:lineRule="auto"/>
        <w:jc w:val="center"/>
        <w:rPr>
          <w:rFonts w:hint="eastAsia" w:ascii="宋体" w:hAnsi="宋体" w:eastAsia="宋体" w:cs="宋体"/>
          <w:highlight w:val="none"/>
        </w:rPr>
        <w:sectPr>
          <w:headerReference r:id="rId3" w:type="default"/>
          <w:footerReference r:id="rId4" w:type="default"/>
          <w:pgSz w:w="11906" w:h="16838"/>
          <w:pgMar w:top="1440" w:right="1800" w:bottom="1440" w:left="1800" w:header="1000" w:footer="1000" w:gutter="0"/>
          <w:cols w:space="720" w:num="1"/>
          <w:titlePg/>
        </w:sectPr>
      </w:pPr>
      <w:r>
        <w:rPr>
          <w:rFonts w:hint="eastAsia" w:ascii="宋体" w:hAnsi="宋体" w:eastAsia="宋体" w:cs="宋体"/>
          <w:b/>
          <w:bCs/>
          <w:spacing w:val="75"/>
          <w:sz w:val="32"/>
          <w:szCs w:val="32"/>
          <w:highlight w:val="none"/>
        </w:rPr>
        <w:t>202</w:t>
      </w:r>
      <w:r>
        <w:rPr>
          <w:rFonts w:hint="eastAsia" w:ascii="宋体" w:hAnsi="宋体" w:eastAsia="宋体" w:cs="宋体"/>
          <w:b/>
          <w:bCs/>
          <w:spacing w:val="75"/>
          <w:sz w:val="32"/>
          <w:szCs w:val="32"/>
          <w:highlight w:val="none"/>
          <w:lang w:eastAsia="zh-CN"/>
        </w:rPr>
        <w:t>2</w:t>
      </w:r>
      <w:r>
        <w:rPr>
          <w:rFonts w:hint="eastAsia" w:ascii="宋体" w:hAnsi="宋体" w:eastAsia="宋体" w:cs="宋体"/>
          <w:b/>
          <w:bCs/>
          <w:spacing w:val="75"/>
          <w:sz w:val="32"/>
          <w:szCs w:val="32"/>
          <w:highlight w:val="none"/>
        </w:rPr>
        <w:t>年</w:t>
      </w:r>
      <w:r>
        <w:rPr>
          <w:rFonts w:hint="eastAsia" w:ascii="宋体" w:hAnsi="宋体" w:eastAsia="宋体" w:cs="宋体"/>
          <w:b/>
          <w:bCs/>
          <w:spacing w:val="75"/>
          <w:sz w:val="32"/>
          <w:szCs w:val="32"/>
          <w:highlight w:val="none"/>
          <w:lang w:val="en-US" w:eastAsia="zh-CN"/>
        </w:rPr>
        <w:t>5</w:t>
      </w:r>
      <w:r>
        <w:rPr>
          <w:rFonts w:hint="eastAsia" w:ascii="宋体" w:hAnsi="宋体" w:eastAsia="宋体" w:cs="宋体"/>
          <w:b/>
          <w:bCs/>
          <w:spacing w:val="75"/>
          <w:sz w:val="32"/>
          <w:szCs w:val="32"/>
          <w:highlight w:val="none"/>
        </w:rPr>
        <w:t>月</w:t>
      </w:r>
    </w:p>
    <w:sdt>
      <w:sdtPr>
        <w:rPr>
          <w:rFonts w:hint="eastAsia" w:ascii="宋体" w:hAnsi="宋体" w:eastAsia="宋体" w:cs="宋体"/>
          <w:sz w:val="28"/>
          <w:szCs w:val="28"/>
          <w:highlight w:val="none"/>
          <w:lang w:val="en-US" w:eastAsia="en-US" w:bidi="ar-SA"/>
        </w:rPr>
        <w:id w:val="147452902"/>
        <w15:color w:val="DBDBDB"/>
        <w:docPartObj>
          <w:docPartGallery w:val="Table of Contents"/>
          <w:docPartUnique/>
        </w:docPartObj>
      </w:sdtPr>
      <w:sdtEndPr>
        <w:rPr>
          <w:rFonts w:hint="eastAsia" w:ascii="宋体" w:hAnsi="宋体" w:eastAsia="宋体" w:cs="宋体"/>
          <w:sz w:val="24"/>
          <w:szCs w:val="24"/>
          <w:highlight w:val="none"/>
          <w:lang w:val="en-US" w:eastAsia="en-US"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目录</w:t>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TOC \o "1-3" \h \u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_Toc3512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项目概况</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_Toc3512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_Toc32147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一、项目基本情况</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_Toc32147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_Toc26025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二、申请人的资格要求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_Toc26025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_Toc25189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三、获取协商文件</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_Toc25189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_Toc31080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四、响应文件提交</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_Toc31080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_Toc18471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五、开启</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_Toc18471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_Toc11844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六、公告期限</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_Toc11844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_Toc7120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七、其他补充事宜</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_Toc7120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_Toc28334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八、对本次采购提出询问，请按以下方式联系</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_Toc28334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_Toc25452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温馨提示：供应商参与单一来源采购</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_Toc25452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_Toc12399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特别注意事项</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_Toc12399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_Toc17732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第一章 协商须知</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_Toc17732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_Toc24278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一、名词解释</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_Toc24278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_Toc26329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二、协商文件的澄清修改</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_Toc26329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_Toc31191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三、报价的费用</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_Toc31191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_Toc1083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四、报价有效期</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_Toc1083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12</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_Toc3495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五、响应文件的制作</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_Toc3495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12</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_Toc24456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六、响应文件的提交与解密</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_Toc24456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12</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_Toc10152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七、质疑</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_Toc10152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13</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_Toc15726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八、签约</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_Toc15726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_Toc31576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九、知识产权</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_Toc31576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_Toc9944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十、协商文件的解释权</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_Toc9944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_Toc3026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第二章 采购需求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_Toc3026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_Toc8416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一、工作目标</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_Toc8416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_Toc26225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二、采购内容</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_Toc26225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_Toc21887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三、报价要求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_Toc21887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_Toc8005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四、普通大米储备承储项目协商内容及要求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_Toc8005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_Toc14995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五、响应规则</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_Toc14995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_Toc1662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六、入库要求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_Toc1662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17</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_Toc29228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七、承储管理</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_Toc29228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17</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_Toc1539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第三章 合同格式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_Toc1539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_Toc13898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广州市政府采购合同</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_Toc13898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_Toc20672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采购编号：</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_Toc20672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_Toc29547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项目名称：</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_Toc29547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_Toc6521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一、承储储备粮基本情况</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_Toc6521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19</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_Toc4243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二、合同金额及资金来源</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_Toc4243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19</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_Toc29987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三、甲、乙方对所有权的约定</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_Toc29987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19</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_Toc6344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四、质量要求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_Toc6344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19</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_Toc27919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五、交货期及交货地点</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_Toc27919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_Toc22789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六、承储期限</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_Toc22789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_Toc10096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七、承储管理</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_Toc10096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_Toc24375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八、双方责任</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_Toc24375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_Toc2244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九、违约责任与赔偿损失</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_Toc2244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_Toc5299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十、争议的解决</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_Toc5299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22</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_Toc5985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十一、不可抗力</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_Toc5985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22</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_Toc14418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十二、税费</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_Toc14418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23</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_Toc17729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十三、其它</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_Toc17729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23</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_Toc20262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十四、合同生效：</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_Toc20262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23</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_Toc24464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第四章 开标、评审和定标</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_Toc24464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_Toc9079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一、 协商小组</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_Toc9079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_Toc14851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zh-CN"/>
            </w:rPr>
            <w:t>二、 评审方法</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_Toc14851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_Toc25251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en"/>
            </w:rPr>
            <w:t>三、协商和评审程序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_Toc25251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_Toc14165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val="en"/>
            </w:rPr>
            <w:t>资格性审查</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_Toc14165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_Toc29260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符合性审查</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_Toc29260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_Toc9327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四、</w:t>
          </w:r>
          <w:r>
            <w:rPr>
              <w:rFonts w:hint="eastAsia" w:ascii="宋体" w:hAnsi="宋体" w:eastAsia="宋体" w:cs="宋体"/>
              <w:bCs/>
              <w:sz w:val="28"/>
              <w:szCs w:val="28"/>
              <w:highlight w:val="none"/>
            </w:rPr>
            <w:t>项目</w:t>
          </w:r>
          <w:r>
            <w:rPr>
              <w:rFonts w:hint="eastAsia" w:ascii="宋体" w:hAnsi="宋体" w:eastAsia="宋体" w:cs="宋体"/>
              <w:bCs/>
              <w:sz w:val="28"/>
              <w:szCs w:val="28"/>
              <w:highlight w:val="none"/>
              <w:lang w:eastAsia="zh-CN"/>
            </w:rPr>
            <w:t>采购失败</w:t>
          </w:r>
          <w:r>
            <w:rPr>
              <w:rFonts w:hint="eastAsia" w:ascii="宋体" w:hAnsi="宋体" w:eastAsia="宋体" w:cs="宋体"/>
              <w:bCs/>
              <w:sz w:val="28"/>
              <w:szCs w:val="28"/>
              <w:highlight w:val="none"/>
            </w:rPr>
            <w:t>处理</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_Toc9327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6"/>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_Toc31330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五、确定结果</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_Toc31330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27</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_Toc12120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第五章  响应文件格式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_Toc12120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_Toc23074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lang w:eastAsia="zh-CN"/>
            </w:rPr>
            <w:t>响应文件</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_Toc23074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_Toc32694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报价函</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_Toc32694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_Toc10515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★供应商资格声明函</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_Toc10515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33</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_Toc1850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★《供应商资格声明函》的附件</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_Toc1850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_Toc23189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★开标一览表</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_Toc23189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35</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_Toc15940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★法定代表人证明书</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_Toc15940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_Toc25893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授权委托证明书</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_Toc25893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37</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_Toc31018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总公司响应授权书（分支机构适用）</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_Toc31018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_Toc26574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★实质性响应条款一览表</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_Toc26574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39</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_Toc3511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★粮库的产权证明或当地县（区）级粮食行政主管部门开具的使用权证明</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_Toc3511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40</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_Toc12462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★广东省粮油仓储单位备案管理登记证或广东省粮油企业管理系统备案证明</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_Toc12462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_Toc2852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★供应商在中国农业发展银行广东省分行营业部（含下属支行）开设基本账户或一般存款账户的证明文件</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_Toc2852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42</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_Toc27999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★供应商在中国农业发展银行信用等级达到BBB+级或以上的证明</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_Toc27999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43</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_Toc32451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中小微企业证明材料（提供以下任一证明材料扫描件）：1中小企业声明函；2残疾人福利性单位声明函</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_Toc32451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44</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_Toc9932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公平竞争承诺书</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_Toc9932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46</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_Toc25325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代理服务费承诺书</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_Toc25325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47</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14"/>
            <w:tabs>
              <w:tab w:val="right" w:leader="dot" w:pos="8306"/>
            </w:tabs>
            <w:jc w:val="both"/>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_Toc19658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供应商认为有必要说明的其他文件资料</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_Toc19658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48</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rPr>
            <w:fldChar w:fldCharType="end"/>
          </w:r>
        </w:p>
        <w:p>
          <w:pPr>
            <w:pStyle w:val="2"/>
            <w:ind w:left="0" w:leftChars="0" w:firstLine="0" w:firstLineChars="0"/>
            <w:jc w:val="both"/>
            <w:rPr>
              <w:rFonts w:hint="eastAsia" w:ascii="宋体" w:hAnsi="宋体" w:eastAsia="宋体" w:cs="宋体"/>
              <w:highlight w:val="none"/>
            </w:rPr>
            <w:sectPr>
              <w:pgSz w:w="11906" w:h="16838"/>
              <w:pgMar w:top="1440" w:right="1800" w:bottom="1440" w:left="1800" w:header="1000" w:footer="1000" w:gutter="0"/>
              <w:cols w:space="720" w:num="1"/>
              <w:titlePg/>
            </w:sectPr>
          </w:pPr>
          <w:r>
            <w:rPr>
              <w:rFonts w:hint="eastAsia" w:ascii="宋体" w:hAnsi="宋体" w:eastAsia="宋体" w:cs="宋体"/>
              <w:sz w:val="28"/>
              <w:szCs w:val="28"/>
              <w:highlight w:val="none"/>
            </w:rPr>
            <w:fldChar w:fldCharType="end"/>
          </w:r>
        </w:p>
      </w:sdtContent>
    </w:sdt>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highlight w:val="none"/>
          <w:lang w:eastAsia="zh-CN"/>
        </w:rPr>
      </w:pPr>
      <w:bookmarkStart w:id="0" w:name="_Toc10175"/>
      <w:bookmarkStart w:id="1" w:name="_Toc3390"/>
      <w:r>
        <w:rPr>
          <w:rFonts w:hint="eastAsia" w:ascii="宋体" w:hAnsi="宋体" w:eastAsia="宋体" w:cs="宋体"/>
          <w:b/>
          <w:bCs/>
          <w:sz w:val="32"/>
          <w:szCs w:val="32"/>
          <w:highlight w:val="yellow"/>
          <w:lang w:eastAsia="zh-CN"/>
        </w:rPr>
        <w:t>2022年广州市荔湾区级储备粮承储招标项目(三次)</w:t>
      </w:r>
      <w:r>
        <w:rPr>
          <w:rFonts w:hint="eastAsia" w:ascii="宋体" w:hAnsi="宋体" w:eastAsia="宋体" w:cs="宋体"/>
          <w:b/>
          <w:bCs/>
          <w:sz w:val="32"/>
          <w:szCs w:val="32"/>
          <w:highlight w:val="none"/>
          <w:lang w:eastAsia="zh-CN"/>
        </w:rPr>
        <w:t>（</w:t>
      </w:r>
      <w:r>
        <w:rPr>
          <w:rFonts w:hint="eastAsia" w:ascii="宋体" w:hAnsi="宋体" w:eastAsia="宋体" w:cs="宋体"/>
          <w:b/>
          <w:bCs/>
          <w:sz w:val="32"/>
          <w:szCs w:val="32"/>
          <w:highlight w:val="yellow"/>
          <w:lang w:eastAsia="zh-CN"/>
        </w:rPr>
        <w:t xml:space="preserve">LW2022LS10004D </w:t>
      </w:r>
      <w:r>
        <w:rPr>
          <w:rFonts w:hint="eastAsia" w:ascii="宋体" w:hAnsi="宋体" w:eastAsia="宋体" w:cs="宋体"/>
          <w:b/>
          <w:bCs/>
          <w:sz w:val="32"/>
          <w:szCs w:val="32"/>
          <w:highlight w:val="none"/>
          <w:lang w:eastAsia="zh-CN"/>
        </w:rPr>
        <w:t>）单一来源采购公告</w:t>
      </w:r>
      <w:bookmarkEnd w:id="0"/>
      <w:bookmarkEnd w:id="1"/>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b/>
          <w:bCs/>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2" w:name="_Toc3512"/>
      <w:r>
        <w:rPr>
          <w:rFonts w:hint="eastAsia" w:ascii="宋体" w:hAnsi="宋体" w:eastAsia="宋体" w:cs="宋体"/>
          <w:b/>
          <w:bCs/>
          <w:highlight w:val="none"/>
          <w:lang w:eastAsia="zh-CN"/>
        </w:rPr>
        <w:t>项目概况</w:t>
      </w:r>
      <w:bookmarkEnd w:id="2"/>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的潜在供应商应在广东省政府采购网（https://gdgpo.czt.gd.gov.cn）、广州粮食交易综合服务平台（http://liangshi.gzaee.cn）、广州农村产权交易所有限公司官网（http://www.gzaee.cn）获取协商文件，并于</w:t>
      </w:r>
      <w:r>
        <w:rPr>
          <w:rFonts w:hint="eastAsia" w:ascii="宋体" w:hAnsi="宋体" w:eastAsia="宋体" w:cs="宋体"/>
          <w:highlight w:val="green"/>
          <w:lang w:val="en-US" w:eastAsia="zh-CN"/>
        </w:rPr>
        <w:t>2022年5月20日14时</w:t>
      </w:r>
      <w:r>
        <w:rPr>
          <w:rFonts w:hint="eastAsia" w:ascii="宋体" w:hAnsi="宋体" w:eastAsia="宋体" w:cs="宋体"/>
          <w:highlight w:val="none"/>
          <w:lang w:val="en-US" w:eastAsia="zh-CN"/>
        </w:rPr>
        <w:t>（北京时间）</w:t>
      </w:r>
      <w:r>
        <w:rPr>
          <w:rFonts w:hint="eastAsia" w:ascii="宋体" w:hAnsi="宋体" w:eastAsia="宋体" w:cs="宋体"/>
          <w:highlight w:val="none"/>
          <w:lang w:eastAsia="zh-CN"/>
        </w:rPr>
        <w:t>前递交响应文件。</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3" w:name="_Toc32147"/>
      <w:r>
        <w:rPr>
          <w:rFonts w:hint="eastAsia" w:ascii="宋体" w:hAnsi="宋体" w:eastAsia="宋体" w:cs="宋体"/>
          <w:b/>
          <w:bCs/>
          <w:highlight w:val="none"/>
          <w:lang w:eastAsia="zh-CN"/>
        </w:rPr>
        <w:t>一、项目基本情况</w:t>
      </w:r>
      <w:bookmarkEnd w:id="3"/>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项目编号：</w:t>
      </w:r>
      <w:r>
        <w:rPr>
          <w:rFonts w:hint="eastAsia" w:ascii="宋体" w:hAnsi="宋体" w:eastAsia="宋体" w:cs="宋体"/>
          <w:highlight w:val="yellow"/>
          <w:lang w:eastAsia="zh-CN"/>
        </w:rPr>
        <w:t>LW2022LS10004D</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项目名称：</w:t>
      </w:r>
      <w:r>
        <w:rPr>
          <w:rFonts w:hint="eastAsia" w:ascii="宋体" w:hAnsi="宋体" w:eastAsia="宋体" w:cs="宋体"/>
          <w:highlight w:val="yellow"/>
          <w:lang w:eastAsia="zh-CN"/>
        </w:rPr>
        <w:t>2022年广州市荔湾区级储备粮承储招标项目(三次)</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采购方式：单一来源采购</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预算金额：人民币：39,795,000.00元。</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最高限价：人民币：39,795,000.00元。</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采购需求：</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（一）标的名称：10500吨普通大米储备项目</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（二）数量：普通大米10500吨（折合原粮：15441吨）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（三）简要技术需求或服务要求：</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本项目采购10500吨普通大米，详细需求请见协商文件第二章采购需求。</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本批储备粮的承储期为6年，详见协商文件。</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4" w:name="_Toc26025"/>
      <w:r>
        <w:rPr>
          <w:rFonts w:hint="eastAsia" w:ascii="宋体" w:hAnsi="宋体" w:eastAsia="宋体" w:cs="宋体"/>
          <w:b/>
          <w:bCs/>
          <w:highlight w:val="none"/>
          <w:lang w:eastAsia="zh-CN"/>
        </w:rPr>
        <w:t>二、申请人的资格要求</w:t>
      </w:r>
      <w:bookmarkEnd w:id="4"/>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符合《政府采购法》第二十二条所规定的条件；分支机构响应的，必须由总公司（总所）授权【依据《供应商资格声明函》及其附件、分支机构的营业执照（执业许可证）扫描件及总公司（总所）出具给分支机构的授权书】。</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（二）落实政府采购政策需满足的资格要求：本项目不属于专门面向中小微企业采购的项目。</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（四）本项目的特定资格要求：</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本项目不接受联合体报价。</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5" w:name="_Toc25189"/>
      <w:r>
        <w:rPr>
          <w:rFonts w:hint="eastAsia" w:ascii="宋体" w:hAnsi="宋体" w:eastAsia="宋体" w:cs="宋体"/>
          <w:b/>
          <w:bCs/>
          <w:highlight w:val="none"/>
          <w:lang w:eastAsia="zh-CN"/>
        </w:rPr>
        <w:t>三、获取协商文件</w:t>
      </w:r>
      <w:bookmarkEnd w:id="5"/>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项目一律不接受纸质响应文件，只接受具备法律效力的电子协商文件。供应商参加响应前，应当到电子认证服务机构办理广州产权交易所有限公司招投标平台CA数字证书和电子签章。办理详情请参考广州粮食交易综合服务平台中交易指南栏目（网址：</w:t>
      </w:r>
      <w:r>
        <w:rPr>
          <w:rFonts w:hint="eastAsia" w:ascii="宋体" w:hAnsi="宋体" w:eastAsia="宋体" w:cs="宋体"/>
          <w:highlight w:val="none"/>
          <w:lang w:eastAsia="zh-CN"/>
        </w:rPr>
        <w:fldChar w:fldCharType="begin"/>
      </w:r>
      <w:r>
        <w:rPr>
          <w:rFonts w:hint="eastAsia" w:ascii="宋体" w:hAnsi="宋体" w:eastAsia="宋体" w:cs="宋体"/>
          <w:highlight w:val="none"/>
          <w:lang w:eastAsia="zh-CN"/>
        </w:rPr>
        <w:instrText xml:space="preserve"> HYPERLINK "http://liangshi.gzaee.cn/" </w:instrText>
      </w:r>
      <w:r>
        <w:rPr>
          <w:rFonts w:hint="eastAsia" w:ascii="宋体" w:hAnsi="宋体" w:eastAsia="宋体" w:cs="宋体"/>
          <w:highlight w:val="none"/>
          <w:lang w:eastAsia="zh-CN"/>
        </w:rPr>
        <w:fldChar w:fldCharType="separate"/>
      </w:r>
      <w:r>
        <w:rPr>
          <w:rFonts w:hint="eastAsia" w:ascii="宋体" w:hAnsi="宋体" w:eastAsia="宋体" w:cs="宋体"/>
          <w:highlight w:val="none"/>
          <w:lang w:eastAsia="zh-CN"/>
        </w:rPr>
        <w:t>http://liangshi.gzaee.cn</w:t>
      </w:r>
      <w:r>
        <w:rPr>
          <w:rFonts w:hint="eastAsia" w:ascii="宋体" w:hAnsi="宋体" w:eastAsia="宋体" w:cs="宋体"/>
          <w:highlight w:val="none"/>
          <w:lang w:eastAsia="zh-CN"/>
        </w:rPr>
        <w:fldChar w:fldCharType="end"/>
      </w:r>
      <w:r>
        <w:rPr>
          <w:rFonts w:hint="eastAsia" w:ascii="宋体" w:hAnsi="宋体" w:eastAsia="宋体" w:cs="宋体"/>
          <w:highlight w:val="none"/>
          <w:lang w:eastAsia="zh-CN"/>
        </w:rPr>
        <w:t>）。如已办理CA证书，响应前请确认CA有效期。符合资格的供应商应当在</w:t>
      </w:r>
      <w:r>
        <w:rPr>
          <w:rFonts w:hint="eastAsia" w:ascii="宋体" w:hAnsi="宋体" w:eastAsia="宋体" w:cs="宋体"/>
          <w:highlight w:val="green"/>
          <w:lang w:eastAsia="zh-CN"/>
        </w:rPr>
        <w:t>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16</w:t>
      </w:r>
      <w:r>
        <w:rPr>
          <w:rFonts w:hint="eastAsia" w:ascii="宋体" w:hAnsi="宋体" w:eastAsia="宋体" w:cs="宋体"/>
          <w:highlight w:val="green"/>
          <w:lang w:eastAsia="zh-CN"/>
        </w:rPr>
        <w:t>日公告之时至2022年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20</w:t>
      </w:r>
      <w:r>
        <w:rPr>
          <w:rFonts w:hint="eastAsia" w:ascii="宋体" w:hAnsi="宋体" w:eastAsia="宋体" w:cs="宋体"/>
          <w:highlight w:val="green"/>
          <w:lang w:eastAsia="zh-CN"/>
        </w:rPr>
        <w:t xml:space="preserve">日 </w:t>
      </w:r>
      <w:r>
        <w:rPr>
          <w:rFonts w:hint="eastAsia" w:ascii="宋体" w:hAnsi="宋体" w:eastAsia="宋体" w:cs="宋体"/>
          <w:highlight w:val="green"/>
          <w:lang w:val="en-US" w:eastAsia="zh-CN"/>
        </w:rPr>
        <w:t>14</w:t>
      </w:r>
      <w:r>
        <w:rPr>
          <w:rFonts w:hint="eastAsia" w:ascii="宋体" w:hAnsi="宋体" w:eastAsia="宋体" w:cs="宋体"/>
          <w:highlight w:val="green"/>
          <w:lang w:eastAsia="zh-CN"/>
        </w:rPr>
        <w:t>:</w:t>
      </w:r>
      <w:r>
        <w:rPr>
          <w:rFonts w:hint="eastAsia" w:ascii="宋体" w:hAnsi="宋体" w:eastAsia="宋体" w:cs="宋体"/>
          <w:highlight w:val="green"/>
          <w:lang w:val="en-US" w:eastAsia="zh-CN"/>
        </w:rPr>
        <w:t>00</w:t>
      </w:r>
      <w:r>
        <w:rPr>
          <w:rFonts w:hint="eastAsia" w:ascii="宋体" w:hAnsi="宋体" w:eastAsia="宋体" w:cs="宋体"/>
          <w:highlight w:val="none"/>
          <w:lang w:eastAsia="zh-CN"/>
        </w:rPr>
        <w:t xml:space="preserve">（北京时间）期间登录广州粮食交易综合服务平台完成本项目响应登记（本项目不收取采购文件工本费）。供应商可登录广州粮食交易综合服务平台自行下载协商文件。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地点：广州粮食交易综合服务平台（http://liangshi.gzaee.cn）。</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方式：自行下载。</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售价：免费。</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6" w:name="_Toc31080"/>
      <w:r>
        <w:rPr>
          <w:rFonts w:hint="eastAsia" w:ascii="宋体" w:hAnsi="宋体" w:eastAsia="宋体" w:cs="宋体"/>
          <w:b/>
          <w:bCs/>
          <w:highlight w:val="none"/>
          <w:lang w:eastAsia="zh-CN"/>
        </w:rPr>
        <w:t>四、响应文件提交</w:t>
      </w:r>
      <w:bookmarkEnd w:id="6"/>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（一）提交响应文件时间：</w:t>
      </w:r>
      <w:r>
        <w:rPr>
          <w:rFonts w:hint="eastAsia" w:ascii="宋体" w:hAnsi="宋体" w:eastAsia="宋体" w:cs="宋体"/>
          <w:highlight w:val="green"/>
          <w:lang w:eastAsia="zh-CN"/>
        </w:rPr>
        <w:t>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16</w:t>
      </w:r>
      <w:r>
        <w:rPr>
          <w:rFonts w:hint="eastAsia" w:ascii="宋体" w:hAnsi="宋体" w:eastAsia="宋体" w:cs="宋体"/>
          <w:highlight w:val="green"/>
          <w:lang w:eastAsia="zh-CN"/>
        </w:rPr>
        <w:t>日公告之时起至2022年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20</w:t>
      </w:r>
      <w:r>
        <w:rPr>
          <w:rFonts w:hint="eastAsia" w:ascii="宋体" w:hAnsi="宋体" w:eastAsia="宋体" w:cs="宋体"/>
          <w:highlight w:val="green"/>
          <w:lang w:eastAsia="zh-CN"/>
        </w:rPr>
        <w:t>日</w:t>
      </w:r>
      <w:r>
        <w:rPr>
          <w:rFonts w:hint="eastAsia" w:ascii="宋体" w:hAnsi="宋体" w:eastAsia="宋体" w:cs="宋体"/>
          <w:highlight w:val="green"/>
          <w:lang w:val="en-US" w:eastAsia="zh-CN"/>
        </w:rPr>
        <w:t>14</w:t>
      </w:r>
      <w:r>
        <w:rPr>
          <w:rFonts w:hint="eastAsia" w:ascii="宋体" w:hAnsi="宋体" w:eastAsia="宋体" w:cs="宋体"/>
          <w:highlight w:val="green"/>
          <w:lang w:eastAsia="zh-CN"/>
        </w:rPr>
        <w:t>时</w:t>
      </w:r>
      <w:r>
        <w:rPr>
          <w:rFonts w:hint="eastAsia" w:ascii="宋体" w:hAnsi="宋体" w:eastAsia="宋体" w:cs="宋体"/>
          <w:highlight w:val="green"/>
          <w:lang w:val="en-US" w:eastAsia="zh-CN"/>
        </w:rPr>
        <w:t>00</w:t>
      </w:r>
      <w:r>
        <w:rPr>
          <w:rFonts w:hint="eastAsia" w:ascii="宋体" w:hAnsi="宋体" w:eastAsia="宋体" w:cs="宋体"/>
          <w:highlight w:val="green"/>
          <w:lang w:eastAsia="zh-CN"/>
        </w:rPr>
        <w:t>分</w:t>
      </w:r>
      <w:r>
        <w:rPr>
          <w:rFonts w:hint="eastAsia" w:ascii="宋体" w:hAnsi="宋体" w:eastAsia="宋体" w:cs="宋体"/>
          <w:highlight w:val="none"/>
          <w:lang w:eastAsia="zh-CN"/>
        </w:rPr>
        <w:t xml:space="preserve">（北京时间）。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（二）提交响应文件截止时间及开标时间：</w:t>
      </w:r>
      <w:r>
        <w:rPr>
          <w:rFonts w:hint="eastAsia" w:ascii="宋体" w:hAnsi="宋体" w:eastAsia="宋体" w:cs="宋体"/>
          <w:highlight w:val="green"/>
          <w:lang w:eastAsia="zh-CN"/>
        </w:rPr>
        <w:t>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20</w:t>
      </w:r>
      <w:r>
        <w:rPr>
          <w:rFonts w:hint="eastAsia" w:ascii="宋体" w:hAnsi="宋体" w:eastAsia="宋体" w:cs="宋体"/>
          <w:highlight w:val="green"/>
          <w:lang w:eastAsia="zh-CN"/>
        </w:rPr>
        <w:t>日</w:t>
      </w:r>
      <w:r>
        <w:rPr>
          <w:rFonts w:hint="eastAsia" w:ascii="宋体" w:hAnsi="宋体" w:eastAsia="宋体" w:cs="宋体"/>
          <w:highlight w:val="red"/>
          <w:lang w:val="en-US" w:eastAsia="zh-CN"/>
        </w:rPr>
        <w:t>14</w:t>
      </w:r>
      <w:r>
        <w:rPr>
          <w:rFonts w:hint="eastAsia" w:ascii="宋体" w:hAnsi="宋体" w:eastAsia="宋体" w:cs="宋体"/>
          <w:highlight w:val="green"/>
          <w:lang w:eastAsia="zh-CN"/>
        </w:rPr>
        <w:t>时</w:t>
      </w:r>
      <w:r>
        <w:rPr>
          <w:rFonts w:hint="eastAsia" w:ascii="宋体" w:hAnsi="宋体" w:eastAsia="宋体" w:cs="宋体"/>
          <w:highlight w:val="green"/>
          <w:lang w:val="en-US" w:eastAsia="zh-CN"/>
        </w:rPr>
        <w:t>00</w:t>
      </w:r>
      <w:r>
        <w:rPr>
          <w:rFonts w:hint="eastAsia" w:ascii="宋体" w:hAnsi="宋体" w:eastAsia="宋体" w:cs="宋体"/>
          <w:highlight w:val="green"/>
          <w:lang w:eastAsia="zh-CN"/>
        </w:rPr>
        <w:t>分</w:t>
      </w:r>
      <w:r>
        <w:rPr>
          <w:rFonts w:hint="eastAsia" w:ascii="宋体" w:hAnsi="宋体" w:eastAsia="宋体" w:cs="宋体"/>
          <w:highlight w:val="none"/>
          <w:lang w:eastAsia="zh-CN"/>
        </w:rPr>
        <w:t xml:space="preserve">（北京时间）。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（三）供应商提交响应文件的方式：登录广州粮食交易综合服务平台上传响应文件。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（四）响应文件解密时间：</w:t>
      </w:r>
      <w:r>
        <w:rPr>
          <w:rFonts w:hint="eastAsia" w:ascii="宋体" w:hAnsi="宋体" w:eastAsia="宋体" w:cs="宋体"/>
          <w:highlight w:val="green"/>
          <w:lang w:eastAsia="zh-CN"/>
        </w:rPr>
        <w:t>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20</w:t>
      </w:r>
      <w:r>
        <w:rPr>
          <w:rFonts w:hint="eastAsia" w:ascii="宋体" w:hAnsi="宋体" w:eastAsia="宋体" w:cs="宋体"/>
          <w:highlight w:val="green"/>
          <w:lang w:eastAsia="zh-CN"/>
        </w:rPr>
        <w:t>日</w:t>
      </w:r>
      <w:r>
        <w:rPr>
          <w:rFonts w:hint="eastAsia" w:ascii="宋体" w:hAnsi="宋体" w:eastAsia="宋体" w:cs="宋体"/>
          <w:highlight w:val="green"/>
          <w:lang w:val="en-US" w:eastAsia="zh-CN"/>
        </w:rPr>
        <w:t>14</w:t>
      </w:r>
      <w:r>
        <w:rPr>
          <w:rFonts w:hint="eastAsia" w:ascii="宋体" w:hAnsi="宋体" w:eastAsia="宋体" w:cs="宋体"/>
          <w:highlight w:val="green"/>
          <w:lang w:eastAsia="zh-CN"/>
        </w:rPr>
        <w:t>时</w:t>
      </w:r>
      <w:r>
        <w:rPr>
          <w:rFonts w:hint="eastAsia" w:ascii="宋体" w:hAnsi="宋体" w:eastAsia="宋体" w:cs="宋体"/>
          <w:highlight w:val="green"/>
          <w:lang w:val="en-US" w:eastAsia="zh-CN"/>
        </w:rPr>
        <w:t>00</w:t>
      </w:r>
      <w:r>
        <w:rPr>
          <w:rFonts w:hint="eastAsia" w:ascii="宋体" w:hAnsi="宋体" w:eastAsia="宋体" w:cs="宋体"/>
          <w:highlight w:val="green"/>
          <w:lang w:eastAsia="zh-CN"/>
        </w:rPr>
        <w:t>分至2022年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20</w:t>
      </w:r>
      <w:r>
        <w:rPr>
          <w:rFonts w:hint="eastAsia" w:ascii="宋体" w:hAnsi="宋体" w:eastAsia="宋体" w:cs="宋体"/>
          <w:highlight w:val="green"/>
          <w:lang w:eastAsia="zh-CN"/>
        </w:rPr>
        <w:t>日</w:t>
      </w:r>
      <w:r>
        <w:rPr>
          <w:rFonts w:hint="eastAsia" w:ascii="宋体" w:hAnsi="宋体" w:eastAsia="宋体" w:cs="宋体"/>
          <w:highlight w:val="green"/>
          <w:lang w:val="en-US" w:eastAsia="zh-CN"/>
        </w:rPr>
        <w:t>15</w:t>
      </w:r>
      <w:r>
        <w:rPr>
          <w:rFonts w:hint="eastAsia" w:ascii="宋体" w:hAnsi="宋体" w:eastAsia="宋体" w:cs="宋体"/>
          <w:highlight w:val="green"/>
          <w:lang w:eastAsia="zh-CN"/>
        </w:rPr>
        <w:t>时</w:t>
      </w:r>
      <w:r>
        <w:rPr>
          <w:rFonts w:hint="eastAsia" w:ascii="宋体" w:hAnsi="宋体" w:eastAsia="宋体" w:cs="宋体"/>
          <w:highlight w:val="green"/>
          <w:lang w:val="en-US" w:eastAsia="zh-CN"/>
        </w:rPr>
        <w:t>00</w:t>
      </w:r>
      <w:r>
        <w:rPr>
          <w:rFonts w:hint="eastAsia" w:ascii="宋体" w:hAnsi="宋体" w:eastAsia="宋体" w:cs="宋体"/>
          <w:highlight w:val="green"/>
          <w:lang w:eastAsia="zh-CN"/>
        </w:rPr>
        <w:t>分（北京时间）。</w:t>
      </w:r>
      <w:r>
        <w:rPr>
          <w:rFonts w:hint="eastAsia" w:ascii="宋体" w:hAnsi="宋体" w:eastAsia="宋体" w:cs="宋体"/>
          <w:highlight w:val="none"/>
          <w:lang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（五）解密完成后及时公布报价结果并进行协商。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（六）开标地点：在线开标。</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7" w:name="_Toc18471"/>
      <w:r>
        <w:rPr>
          <w:rFonts w:hint="eastAsia" w:ascii="宋体" w:hAnsi="宋体" w:eastAsia="宋体" w:cs="宋体"/>
          <w:b/>
          <w:bCs/>
          <w:highlight w:val="none"/>
          <w:lang w:eastAsia="zh-CN"/>
        </w:rPr>
        <w:t>五、开启</w:t>
      </w:r>
      <w:bookmarkEnd w:id="7"/>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时间：</w:t>
      </w:r>
      <w:r>
        <w:rPr>
          <w:rFonts w:hint="eastAsia" w:ascii="宋体" w:hAnsi="宋体" w:eastAsia="宋体" w:cs="宋体"/>
          <w:highlight w:val="green"/>
          <w:lang w:eastAsia="zh-CN"/>
        </w:rPr>
        <w:t>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20</w:t>
      </w:r>
      <w:r>
        <w:rPr>
          <w:rFonts w:hint="eastAsia" w:ascii="宋体" w:hAnsi="宋体" w:eastAsia="宋体" w:cs="宋体"/>
          <w:highlight w:val="green"/>
          <w:lang w:eastAsia="zh-CN"/>
        </w:rPr>
        <w:t>日</w:t>
      </w:r>
      <w:r>
        <w:rPr>
          <w:rFonts w:hint="eastAsia" w:ascii="宋体" w:hAnsi="宋体" w:eastAsia="宋体" w:cs="宋体"/>
          <w:highlight w:val="green"/>
          <w:lang w:val="en-US" w:eastAsia="zh-CN"/>
        </w:rPr>
        <w:t>14</w:t>
      </w:r>
      <w:r>
        <w:rPr>
          <w:rFonts w:hint="eastAsia" w:ascii="宋体" w:hAnsi="宋体" w:eastAsia="宋体" w:cs="宋体"/>
          <w:highlight w:val="green"/>
          <w:lang w:eastAsia="zh-CN"/>
        </w:rPr>
        <w:t>时00分（北京时间）</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地点：在线开标</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8" w:name="_Toc11844"/>
      <w:r>
        <w:rPr>
          <w:rFonts w:hint="eastAsia" w:ascii="宋体" w:hAnsi="宋体" w:eastAsia="宋体" w:cs="宋体"/>
          <w:b/>
          <w:bCs/>
          <w:highlight w:val="none"/>
          <w:lang w:eastAsia="zh-CN"/>
        </w:rPr>
        <w:t>六、公告期限</w:t>
      </w:r>
      <w:bookmarkEnd w:id="8"/>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自本公告发布之日起</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个工作日。</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9" w:name="_Toc7120"/>
      <w:r>
        <w:rPr>
          <w:rFonts w:hint="eastAsia" w:ascii="宋体" w:hAnsi="宋体" w:eastAsia="宋体" w:cs="宋体"/>
          <w:b/>
          <w:bCs/>
          <w:highlight w:val="none"/>
          <w:lang w:eastAsia="zh-CN"/>
        </w:rPr>
        <w:t>七、其他补充事宜</w:t>
      </w:r>
      <w:bookmarkEnd w:id="9"/>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（一）根据采购人要求，现邀请广州天河粮食储备管理有限公司（以下简称供应商）进行协商。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根据广东省财政厅政府采购监管处《关于做好供应商注册登记有关工作的通知》的要求，供应商应在广州粮食交易综合服务平台系统（http://liangshi.gzaee.cn）进行项目响应登记前通过广东省政府采购网（gdgpo.czt.gd.gov.cn）进行注册登记（相关事宜详见广东省政府采购网《关于做好供应商注册登记有关工作的通知》）。</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（三）协商说明：</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协商地点：广州市越秀区流花路123号广州越秀国际会议中心北塔</w:t>
      </w:r>
      <w:r>
        <w:rPr>
          <w:rFonts w:hint="eastAsia" w:ascii="宋体" w:hAnsi="宋体" w:eastAsia="宋体" w:cs="宋体"/>
          <w:highlight w:val="none"/>
          <w:lang w:val="en-US" w:eastAsia="zh-CN"/>
        </w:rPr>
        <w:t>8</w:t>
      </w:r>
      <w:r>
        <w:rPr>
          <w:rFonts w:hint="eastAsia" w:ascii="宋体" w:hAnsi="宋体" w:eastAsia="宋体" w:cs="宋体"/>
          <w:highlight w:val="none"/>
          <w:lang w:eastAsia="zh-CN"/>
        </w:rPr>
        <w:t>楼</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供应商携带具有电子签章的CA证书参与协商。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供应商须由法定代表人（凭加盖公章的法定代表人证明书和法定代表人身份证原件）或自然人（供应商为自然人时，提交自然人身份证原件）或其委托代理人（凭授权委托证明书和委托代理人身份证原件）现场参加协商。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如供应商未在协商小组规定的时间内到达协商地点进行协商，协商小组有权视为供应商退出协商。请供应商在响应文件解密时间截止后1小时内到达协商地点等候参加协商。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（四）现场考察及答疑会</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1、本项目不需要现场考察。</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2、本项目不需要答疑会。</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0"/>
        <w:rPr>
          <w:rFonts w:hint="eastAsia" w:ascii="宋体" w:hAnsi="宋体" w:eastAsia="宋体" w:cs="宋体"/>
          <w:b/>
          <w:bCs/>
          <w:highlight w:val="none"/>
          <w:lang w:eastAsia="zh-CN"/>
        </w:rPr>
      </w:pPr>
      <w:bookmarkStart w:id="10" w:name="_Toc28334"/>
      <w:r>
        <w:rPr>
          <w:rFonts w:hint="eastAsia" w:ascii="宋体" w:hAnsi="宋体" w:eastAsia="宋体" w:cs="宋体"/>
          <w:b/>
          <w:bCs/>
          <w:highlight w:val="none"/>
          <w:lang w:eastAsia="zh-CN"/>
        </w:rPr>
        <w:t>八、对本次采购提出询问，请按以下方式联系</w:t>
      </w:r>
      <w:bookmarkEnd w:id="10"/>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outlineLvl w:val="1"/>
        <w:rPr>
          <w:rFonts w:hint="eastAsia" w:ascii="宋体" w:hAnsi="宋体" w:eastAsia="宋体" w:cs="宋体"/>
          <w:highlight w:val="none"/>
          <w:lang w:eastAsia="zh-CN"/>
        </w:rPr>
      </w:pPr>
      <w:bookmarkStart w:id="11" w:name="_Toc29187"/>
      <w:r>
        <w:rPr>
          <w:rFonts w:hint="eastAsia" w:ascii="宋体" w:hAnsi="宋体" w:eastAsia="宋体" w:cs="宋体"/>
          <w:highlight w:val="none"/>
          <w:lang w:eastAsia="zh-CN"/>
        </w:rPr>
        <w:t>（一）采购人信息</w:t>
      </w:r>
      <w:bookmarkEnd w:id="11"/>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采购人名称：广州市荔湾区发展和改革局</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采购人地址：广州市荔湾区逢源路127号八楼</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联系人：李先生，联系电话：</w:t>
      </w:r>
      <w:r>
        <w:rPr>
          <w:rFonts w:hint="eastAsia" w:ascii="宋体" w:hAnsi="宋体" w:eastAsia="宋体" w:cs="宋体"/>
          <w:highlight w:val="none"/>
          <w:lang w:val="en-US" w:eastAsia="zh-CN"/>
        </w:rPr>
        <w:t xml:space="preserve">020-81376912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outlineLvl w:val="1"/>
        <w:rPr>
          <w:rFonts w:hint="eastAsia" w:ascii="宋体" w:hAnsi="宋体" w:eastAsia="宋体" w:cs="宋体"/>
          <w:highlight w:val="none"/>
          <w:lang w:eastAsia="zh-CN"/>
        </w:rPr>
      </w:pPr>
      <w:bookmarkStart w:id="12" w:name="_Toc18667"/>
      <w:r>
        <w:rPr>
          <w:rFonts w:hint="eastAsia" w:ascii="宋体" w:hAnsi="宋体" w:eastAsia="宋体" w:cs="宋体"/>
          <w:highlight w:val="none"/>
          <w:lang w:eastAsia="zh-CN"/>
        </w:rPr>
        <w:t>（二）采购代理机构信息</w:t>
      </w:r>
      <w:bookmarkEnd w:id="12"/>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名称：广州农村产权交易所有限公司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地址：广州市越秀区流花路123号广州越秀国际会议中心北塔9楼</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联系人：罗小姐</w:t>
      </w:r>
      <w:r>
        <w:rPr>
          <w:rFonts w:hint="eastAsia" w:ascii="宋体" w:hAnsi="宋体" w:eastAsia="宋体" w:cs="宋体"/>
          <w:highlight w:val="none"/>
          <w:lang w:val="en-US" w:eastAsia="zh-CN"/>
        </w:rPr>
        <w:t xml:space="preserve">      陈先生</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联系电话：020-891609</w:t>
      </w:r>
      <w:r>
        <w:rPr>
          <w:rFonts w:hint="eastAsia" w:ascii="宋体" w:hAnsi="宋体" w:eastAsia="宋体" w:cs="宋体"/>
          <w:highlight w:val="none"/>
          <w:lang w:val="en-US" w:eastAsia="zh-CN"/>
        </w:rPr>
        <w:t xml:space="preserve">56    </w:t>
      </w:r>
      <w:r>
        <w:rPr>
          <w:rFonts w:hint="eastAsia" w:ascii="宋体" w:hAnsi="宋体" w:eastAsia="宋体" w:cs="宋体"/>
          <w:highlight w:val="none"/>
          <w:lang w:eastAsia="zh-CN"/>
        </w:rPr>
        <w:t> 020-8916078</w:t>
      </w:r>
      <w:r>
        <w:rPr>
          <w:rFonts w:hint="eastAsia" w:ascii="宋体" w:hAnsi="宋体" w:eastAsia="宋体" w:cs="宋体"/>
          <w:highlight w:val="none"/>
          <w:lang w:val="en-US" w:eastAsia="zh-CN"/>
        </w:rPr>
        <w:t>1</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传真：020-89160999</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mail：</w:t>
      </w:r>
      <w:r>
        <w:rPr>
          <w:rFonts w:hint="eastAsia" w:ascii="宋体" w:hAnsi="宋体" w:eastAsia="宋体" w:cs="宋体"/>
          <w:highlight w:val="none"/>
          <w:lang w:eastAsia="zh-CN"/>
        </w:rPr>
        <w:fldChar w:fldCharType="begin"/>
      </w:r>
      <w:r>
        <w:rPr>
          <w:rFonts w:hint="eastAsia" w:ascii="宋体" w:hAnsi="宋体" w:eastAsia="宋体" w:cs="宋体"/>
          <w:highlight w:val="none"/>
          <w:lang w:eastAsia="zh-CN"/>
        </w:rPr>
        <w:instrText xml:space="preserve"> HYPERLINK "mailto:liangshi@email.gemas.com.cn" </w:instrText>
      </w:r>
      <w:r>
        <w:rPr>
          <w:rFonts w:hint="eastAsia" w:ascii="宋体" w:hAnsi="宋体" w:eastAsia="宋体" w:cs="宋体"/>
          <w:highlight w:val="none"/>
          <w:lang w:eastAsia="zh-CN"/>
        </w:rPr>
        <w:fldChar w:fldCharType="separate"/>
      </w:r>
      <w:r>
        <w:rPr>
          <w:rStyle w:val="22"/>
          <w:rFonts w:hint="eastAsia" w:ascii="宋体" w:hAnsi="宋体" w:eastAsia="宋体" w:cs="宋体"/>
          <w:highlight w:val="none"/>
          <w:lang w:eastAsia="zh-CN"/>
        </w:rPr>
        <w:t>liangshi@email.gemas.com.cn</w:t>
      </w:r>
      <w:r>
        <w:rPr>
          <w:rFonts w:hint="eastAsia" w:ascii="宋体" w:hAnsi="宋体" w:eastAsia="宋体" w:cs="宋体"/>
          <w:highlight w:val="none"/>
          <w:lang w:eastAsia="zh-CN"/>
        </w:rPr>
        <w:fldChar w:fldCharType="end"/>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对外办公时间：工作日 </w:t>
      </w:r>
      <w:r>
        <w:rPr>
          <w:rFonts w:hint="eastAsia" w:ascii="宋体" w:hAnsi="宋体" w:eastAsia="宋体" w:cs="宋体"/>
          <w:highlight w:val="none"/>
          <w:lang w:val="en-US" w:eastAsia="zh-CN"/>
        </w:rPr>
        <w:t>9</w:t>
      </w:r>
      <w:r>
        <w:rPr>
          <w:rFonts w:hint="eastAsia" w:ascii="宋体" w:hAnsi="宋体" w:eastAsia="宋体" w:cs="宋体"/>
          <w:highlight w:val="none"/>
          <w:lang w:eastAsia="zh-CN"/>
        </w:rPr>
        <w:t>:</w:t>
      </w:r>
      <w:r>
        <w:rPr>
          <w:rFonts w:hint="eastAsia" w:ascii="宋体" w:hAnsi="宋体" w:eastAsia="宋体" w:cs="宋体"/>
          <w:highlight w:val="none"/>
          <w:lang w:val="en-US" w:eastAsia="zh-CN"/>
        </w:rPr>
        <w:t>0</w:t>
      </w:r>
      <w:r>
        <w:rPr>
          <w:rFonts w:hint="eastAsia" w:ascii="宋体" w:hAnsi="宋体" w:eastAsia="宋体" w:cs="宋体"/>
          <w:highlight w:val="none"/>
          <w:lang w:eastAsia="zh-CN"/>
        </w:rPr>
        <w:t>0～12:00，1</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:00～17:</w:t>
      </w:r>
      <w:r>
        <w:rPr>
          <w:rFonts w:hint="eastAsia" w:ascii="宋体" w:hAnsi="宋体" w:eastAsia="宋体" w:cs="宋体"/>
          <w:highlight w:val="none"/>
          <w:lang w:val="en-US" w:eastAsia="zh-CN"/>
        </w:rPr>
        <w:t>0</w:t>
      </w:r>
      <w:r>
        <w:rPr>
          <w:rFonts w:hint="eastAsia" w:ascii="宋体" w:hAnsi="宋体" w:eastAsia="宋体" w:cs="宋体"/>
          <w:highlight w:val="none"/>
          <w:lang w:eastAsia="zh-CN"/>
        </w:rPr>
        <w:t>0</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080" w:firstLineChars="17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发布人：广州农村产权交易所有限公司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0" w:firstLineChars="2000"/>
        <w:jc w:val="both"/>
        <w:textAlignment w:val="auto"/>
        <w:rPr>
          <w:rFonts w:hint="eastAsia" w:ascii="宋体" w:hAnsi="宋体" w:eastAsia="宋体" w:cs="宋体"/>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highlight w:val="none"/>
          <w:lang w:eastAsia="zh-CN"/>
        </w:rPr>
        <w:t>发布时间：</w:t>
      </w:r>
      <w:r>
        <w:rPr>
          <w:rFonts w:hint="eastAsia" w:ascii="宋体" w:hAnsi="宋体" w:eastAsia="宋体" w:cs="宋体"/>
          <w:highlight w:val="green"/>
          <w:lang w:eastAsia="zh-CN"/>
        </w:rPr>
        <w:t>2022年</w:t>
      </w:r>
      <w:r>
        <w:rPr>
          <w:rFonts w:hint="eastAsia" w:ascii="宋体" w:hAnsi="宋体" w:eastAsia="宋体" w:cs="宋体"/>
          <w:highlight w:val="green"/>
          <w:lang w:val="en-US" w:eastAsia="zh-CN"/>
        </w:rPr>
        <w:t>5</w:t>
      </w:r>
      <w:r>
        <w:rPr>
          <w:rFonts w:hint="eastAsia" w:ascii="宋体" w:hAnsi="宋体" w:eastAsia="宋体" w:cs="宋体"/>
          <w:highlight w:val="green"/>
          <w:lang w:eastAsia="zh-CN"/>
        </w:rPr>
        <w:t>月</w:t>
      </w:r>
      <w:r>
        <w:rPr>
          <w:rFonts w:hint="eastAsia" w:ascii="宋体" w:hAnsi="宋体" w:eastAsia="宋体" w:cs="宋体"/>
          <w:highlight w:val="green"/>
          <w:lang w:val="en-US" w:eastAsia="zh-CN"/>
        </w:rPr>
        <w:t>16日</w:t>
      </w: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0"/>
        <w:rPr>
          <w:rFonts w:hint="eastAsia" w:ascii="宋体" w:hAnsi="宋体" w:eastAsia="宋体" w:cs="宋体"/>
          <w:sz w:val="32"/>
          <w:szCs w:val="32"/>
          <w:highlight w:val="none"/>
          <w:lang w:eastAsia="zh-CN"/>
        </w:rPr>
      </w:pPr>
      <w:bookmarkStart w:id="13" w:name="_Toc24339"/>
      <w:bookmarkStart w:id="14" w:name="_Toc25452"/>
      <w:bookmarkStart w:id="15" w:name="_Toc256000002"/>
      <w:bookmarkStart w:id="16" w:name="_Toc14929"/>
      <w:bookmarkStart w:id="17" w:name="_Toc51770932"/>
      <w:bookmarkStart w:id="18" w:name="_Toc53561723"/>
      <w:bookmarkStart w:id="19" w:name="_Toc23886_WPSOffice_Level1"/>
      <w:bookmarkStart w:id="20" w:name="_Toc256000024"/>
      <w:bookmarkStart w:id="21" w:name="_Toc81320127"/>
      <w:bookmarkStart w:id="22" w:name="_Toc256000001"/>
      <w:r>
        <w:rPr>
          <w:rFonts w:hint="eastAsia" w:ascii="宋体" w:hAnsi="宋体" w:eastAsia="宋体" w:cs="宋体"/>
          <w:sz w:val="32"/>
          <w:szCs w:val="32"/>
          <w:highlight w:val="none"/>
          <w:lang w:eastAsia="zh-CN"/>
        </w:rPr>
        <w:t>温馨提示：供应商参与单一来源采购</w:t>
      </w:r>
      <w:bookmarkEnd w:id="13"/>
      <w:bookmarkEnd w:id="14"/>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0"/>
        <w:rPr>
          <w:rFonts w:hint="eastAsia" w:ascii="宋体" w:hAnsi="宋体" w:eastAsia="宋体" w:cs="宋体"/>
          <w:sz w:val="32"/>
          <w:szCs w:val="32"/>
          <w:highlight w:val="none"/>
          <w:lang w:eastAsia="zh-CN"/>
        </w:rPr>
      </w:pPr>
      <w:bookmarkStart w:id="23" w:name="_Toc12399"/>
      <w:bookmarkStart w:id="24" w:name="_Toc7297"/>
      <w:r>
        <w:rPr>
          <w:rFonts w:hint="eastAsia" w:ascii="宋体" w:hAnsi="宋体" w:eastAsia="宋体" w:cs="宋体"/>
          <w:sz w:val="32"/>
          <w:szCs w:val="32"/>
          <w:highlight w:val="none"/>
          <w:lang w:eastAsia="zh-CN"/>
        </w:rPr>
        <w:t>特别注意事项</w:t>
      </w:r>
      <w:bookmarkEnd w:id="15"/>
      <w:bookmarkEnd w:id="16"/>
      <w:bookmarkEnd w:id="17"/>
      <w:bookmarkEnd w:id="18"/>
      <w:bookmarkEnd w:id="19"/>
      <w:bookmarkEnd w:id="20"/>
      <w:bookmarkEnd w:id="21"/>
      <w:bookmarkEnd w:id="22"/>
      <w:bookmarkEnd w:id="23"/>
      <w:bookmarkEnd w:id="24"/>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一、一律不接受纸质协商文件，只接受具备法律效力的电子协商文件。供应商参加单一来源采购前，应当到依法设立的电子认证服务机构办理CA数字证书和电子签章。</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二、如更正公告有重新发布电子协商文件的，供应商需使用更正公告后最新发布的电子协商文件来制作电子协商文件，否则响应时将无法正常提交电子协商文件。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三、供应商需在提交协商文件截止时间前完整上传电子协商文件并保存在采购交易系统。逾期送达或错误投递方式送达的协商文件广州农村产权交易所有限公司恕不接收。</w:t>
      </w:r>
      <w:bookmarkStart w:id="25" w:name="EB518cdab668804e059aed57186eceaad7"/>
      <w:r>
        <w:rPr>
          <w:rFonts w:hint="eastAsia" w:ascii="宋体" w:hAnsi="宋体" w:eastAsia="宋体" w:cs="宋体"/>
          <w:highlight w:val="none"/>
          <w:lang w:eastAsia="zh-CN"/>
        </w:rPr>
        <w:t xml:space="preserve"> </w:t>
      </w:r>
      <w:bookmarkEnd w:id="25"/>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四、加★号的条款均被视为重要的指标要求，必须一一响应。若有一项带“★”的指标要求未响应或不满足，将按无效响应处理。</w:t>
      </w:r>
      <w:bookmarkStart w:id="26" w:name="EB72698c3763444213afaafce501bedd53"/>
      <w:r>
        <w:rPr>
          <w:rFonts w:hint="eastAsia" w:ascii="宋体" w:hAnsi="宋体" w:eastAsia="宋体" w:cs="宋体"/>
          <w:b/>
          <w:bCs/>
          <w:highlight w:val="none"/>
          <w:lang w:eastAsia="zh-CN"/>
        </w:rPr>
        <w:t xml:space="preserve"> </w:t>
      </w:r>
      <w:bookmarkEnd w:id="26"/>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rPr>
          <w:rFonts w:hint="eastAsia" w:ascii="宋体" w:hAnsi="宋体" w:eastAsia="宋体" w:cs="宋体"/>
          <w:b/>
          <w:bCs/>
          <w:highlight w:val="none"/>
          <w:lang w:eastAsia="zh-CN"/>
        </w:rPr>
      </w:pPr>
      <w:r>
        <w:rPr>
          <w:rFonts w:hint="eastAsia" w:ascii="宋体" w:hAnsi="宋体" w:eastAsia="宋体" w:cs="宋体"/>
          <w:b/>
          <w:bCs/>
          <w:highlight w:val="none"/>
          <w:lang w:eastAsia="zh-CN"/>
        </w:rPr>
        <w:t>五、供应商制作的协商文件中所包含的各类型附件（包括但不限于PDF、DOC、JPG等）须为非加密格式，若上传的协商文件中包含加密格式的附件，导致供应商所提供的协商文件读取失败，由此产生的一切后果由供应商自行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六、供应商的报价明显低于其他通过符合性审查供应商的报价，有可能影响产品质量或者不能诚信履约的，应当按协商小组的要求，在评审现场合理的时间内提供书面说明，必要时提交相关证明材料；供应商不能证明其报价合理性的，将被作为无效响应处理。</w:t>
      </w:r>
      <w:bookmarkStart w:id="27" w:name="EB66a29797894340c6a2414ce616af6475"/>
      <w:r>
        <w:rPr>
          <w:rFonts w:hint="eastAsia" w:ascii="宋体" w:hAnsi="宋体" w:eastAsia="宋体" w:cs="宋体"/>
          <w:highlight w:val="none"/>
          <w:lang w:eastAsia="zh-CN"/>
        </w:rPr>
        <w:t xml:space="preserve"> </w:t>
      </w:r>
      <w:bookmarkEnd w:id="27"/>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七、对可接受分支机构响应的项目，分支机构响应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八、协商小组评审时，对供应商部分信息直接取自供应商在广州农村产权交易所有限公司登记的信息，请供应商及时维护、更新已登记的信息，确保其时效性。</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九、供应商一旦依法被确认为成交供应商，其</w:t>
      </w:r>
      <w:r>
        <w:rPr>
          <w:rFonts w:hint="eastAsia" w:ascii="宋体" w:hAnsi="宋体" w:eastAsia="宋体" w:cs="宋体"/>
          <w:highlight w:val="none"/>
          <w:lang w:val="en-US" w:eastAsia="zh-CN"/>
        </w:rPr>
        <w:t>响应</w:t>
      </w:r>
      <w:r>
        <w:rPr>
          <w:rFonts w:hint="eastAsia" w:ascii="宋体" w:hAnsi="宋体" w:eastAsia="宋体" w:cs="宋体"/>
          <w:highlight w:val="none"/>
          <w:lang w:eastAsia="zh-CN"/>
        </w:rPr>
        <w:t>文件中的相关内容（主要中选标的的名称、规格型号、数量、单价、服务要求等），将会随成交结果公告一并发布在采购信息发布网上，接受社会监督。</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十、广州农村产权交易所有限公司为采购代理机构，不对供应商报名时提交的相关资料的真实性负责，如供应商发现相关资料被盗用或复制，应遵循法律途径解决，追究侵权者责任。</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val="zh-CN"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（本提示内容非协商文件的组成部分，仅为善意提醒。如有不一致，以协商文件为准。）</w:t>
      </w:r>
      <w:r>
        <w:rPr>
          <w:rFonts w:hint="eastAsia" w:ascii="宋体" w:hAnsi="宋体" w:eastAsia="宋体" w:cs="宋体"/>
          <w:highlight w:val="none"/>
          <w:lang w:val="zh-CN" w:eastAsia="zh-CN"/>
        </w:rPr>
        <w:br w:type="page"/>
      </w:r>
    </w:p>
    <w:p>
      <w:pPr>
        <w:keepNext w:val="0"/>
        <w:keepLines w:val="0"/>
        <w:pageBreakBefore w:val="0"/>
        <w:widowControl/>
        <w:numPr>
          <w:ilvl w:val="0"/>
          <w:numId w:val="2"/>
        </w:numPr>
        <w:kinsoku/>
        <w:wordWrap/>
        <w:overflowPunct/>
        <w:topLinePunct w:val="0"/>
        <w:autoSpaceDE/>
        <w:autoSpaceDN/>
        <w:bidi w:val="0"/>
        <w:adjustRightInd/>
        <w:snapToGrid/>
        <w:spacing w:line="300" w:lineRule="auto"/>
        <w:jc w:val="center"/>
        <w:textAlignment w:val="auto"/>
        <w:outlineLvl w:val="0"/>
        <w:rPr>
          <w:rFonts w:hint="eastAsia" w:ascii="宋体" w:hAnsi="宋体" w:eastAsia="宋体" w:cs="宋体"/>
          <w:b/>
          <w:bCs/>
          <w:sz w:val="32"/>
          <w:szCs w:val="32"/>
          <w:highlight w:val="none"/>
          <w:lang w:eastAsia="zh-CN"/>
        </w:rPr>
      </w:pPr>
      <w:bookmarkStart w:id="28" w:name="_Toc403491560"/>
      <w:bookmarkStart w:id="29" w:name="_Toc46308523"/>
      <w:bookmarkStart w:id="30" w:name="_Toc101951241"/>
      <w:bookmarkStart w:id="31" w:name="_Toc175644385"/>
      <w:bookmarkStart w:id="32" w:name="_Toc401575138"/>
      <w:bookmarkStart w:id="33" w:name="_Toc41723912"/>
      <w:bookmarkStart w:id="34" w:name="_Toc256000025"/>
      <w:bookmarkStart w:id="35" w:name="_Toc256000003"/>
      <w:bookmarkStart w:id="36" w:name="_Toc11690"/>
      <w:bookmarkStart w:id="37" w:name="_Toc42394495"/>
      <w:bookmarkStart w:id="38" w:name="_Toc11030"/>
      <w:bookmarkStart w:id="39" w:name="_Toc42394652"/>
      <w:bookmarkStart w:id="40" w:name="_Toc42313150"/>
      <w:bookmarkStart w:id="41" w:name="_Toc101771355"/>
      <w:bookmarkStart w:id="42" w:name="_Toc98580273"/>
      <w:bookmarkStart w:id="43" w:name="_Toc98579049"/>
      <w:bookmarkStart w:id="44" w:name="_Toc41884682"/>
      <w:bookmarkStart w:id="45" w:name="_Toc98579590"/>
      <w:bookmarkStart w:id="46" w:name="_Toc98578991"/>
      <w:bookmarkStart w:id="47" w:name="_Toc31434_WPSOffice_Level1"/>
      <w:bookmarkStart w:id="48" w:name="_Toc81320128"/>
      <w:bookmarkStart w:id="49" w:name="_Toc53561724"/>
      <w:bookmarkStart w:id="50" w:name="_Toc101843108"/>
      <w:bookmarkStart w:id="51" w:name="_Toc101775108"/>
      <w:bookmarkStart w:id="52" w:name="_Toc17732"/>
      <w:bookmarkStart w:id="53" w:name="_Toc51770933"/>
      <w:bookmarkStart w:id="54" w:name="_Toc46308679"/>
      <w:bookmarkStart w:id="55" w:name="_Toc98035084"/>
      <w:bookmarkStart w:id="56" w:name="_Toc256000004"/>
      <w:r>
        <w:rPr>
          <w:rFonts w:hint="eastAsia" w:ascii="宋体" w:hAnsi="宋体" w:eastAsia="宋体" w:cs="宋体"/>
          <w:b/>
          <w:bCs/>
          <w:sz w:val="32"/>
          <w:szCs w:val="32"/>
          <w:highlight w:val="none"/>
          <w:lang w:eastAsia="zh-CN"/>
        </w:rPr>
        <w:t>协商须知</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keepNext w:val="0"/>
        <w:keepLines w:val="0"/>
        <w:pageBreakBefore w:val="0"/>
        <w:widowControl/>
        <w:numPr>
          <w:ilvl w:val="0"/>
          <w:numId w:val="0"/>
        </w:numPr>
        <w:kinsoku/>
        <w:wordWrap/>
        <w:overflowPunct/>
        <w:topLinePunct w:val="0"/>
        <w:autoSpaceDE/>
        <w:autoSpaceDN/>
        <w:bidi w:val="0"/>
        <w:adjustRightInd/>
        <w:snapToGrid/>
        <w:spacing w:line="300" w:lineRule="auto"/>
        <w:jc w:val="both"/>
        <w:textAlignment w:val="auto"/>
        <w:rPr>
          <w:rFonts w:hint="eastAsia" w:ascii="宋体" w:hAnsi="宋体" w:eastAsia="宋体" w:cs="宋体"/>
          <w:b/>
          <w:bCs/>
          <w:sz w:val="30"/>
          <w:szCs w:val="30"/>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bookmarkStart w:id="57" w:name="_Toc403491561"/>
      <w:bookmarkStart w:id="58" w:name="_Toc159385048"/>
      <w:bookmarkStart w:id="59" w:name="_Toc119321124"/>
      <w:bookmarkStart w:id="60" w:name="_Toc136662913"/>
      <w:bookmarkStart w:id="61" w:name="_Toc136682889"/>
      <w:bookmarkStart w:id="62" w:name="_Toc390699896"/>
      <w:bookmarkStart w:id="63" w:name="_Toc401575139"/>
      <w:bookmarkStart w:id="64" w:name="_Toc273255343"/>
      <w:bookmarkStart w:id="65" w:name="_Toc324867172"/>
      <w:r>
        <w:rPr>
          <w:rFonts w:hint="eastAsia" w:ascii="宋体" w:hAnsi="宋体" w:eastAsia="宋体" w:cs="宋体"/>
          <w:highlight w:val="none"/>
        </w:rPr>
        <w:t>供应商必须认真阅读协商文件中所有的事项、格式、条款和采购需求等。供应商没有按照协商文件要求提交全部资料，或者响应文件没有对协商文件在各方面都做出实质性响应的可能导致其报价无效或被拒绝</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66" w:name="_Toc24278"/>
      <w:r>
        <w:rPr>
          <w:rFonts w:hint="eastAsia" w:ascii="宋体" w:hAnsi="宋体" w:eastAsia="宋体" w:cs="宋体"/>
          <w:b/>
          <w:bCs/>
          <w:highlight w:val="none"/>
          <w:lang w:eastAsia="zh-CN"/>
        </w:rPr>
        <w:t>一、名词解释</w:t>
      </w:r>
      <w:bookmarkEnd w:id="57"/>
      <w:bookmarkEnd w:id="58"/>
      <w:bookmarkEnd w:id="59"/>
      <w:bookmarkEnd w:id="60"/>
      <w:bookmarkEnd w:id="61"/>
      <w:bookmarkEnd w:id="62"/>
      <w:bookmarkEnd w:id="63"/>
      <w:bookmarkEnd w:id="64"/>
      <w:bookmarkEnd w:id="65"/>
      <w:bookmarkEnd w:id="66"/>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（一）采购代理机构：本项目是指广州农村产权交易所有限公司，</w:t>
      </w:r>
      <w:r>
        <w:rPr>
          <w:rFonts w:hint="eastAsia" w:ascii="宋体" w:hAnsi="宋体" w:eastAsia="宋体" w:cs="宋体"/>
          <w:highlight w:val="none"/>
        </w:rPr>
        <w:t>负责整个采购活动的组织，依法负责编制和发布协商文件，对协商文件拥有最终的解释权，不以任何身份出任谈判小组成员。</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采购人：本项目是指广州市荔湾区发展和改革局，是采购活动当事人之一，负责项目的整体规划、技术方案可行性设计论证与实施，作为合同采购方（用户）的主体承担质疑回复、履行合同、验收与评价等义务。</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（三）供应商：是指在广州粮食交易综合服务平台完成本项目响应登记并提交电子响应文件的供应商。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（四）协商文件：是指包括采购信息公告和协商文件及其补充、变更和澄清等一系列文件。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（五）电子响应文件：是指使用广州粮食交易综合服务平台提供的投标文件管理软件制作的协商文件。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六）电子签名和电子签章：是指广东省内依法设立的电子认证服务机构签发的电子签名认证证书和电子签章，供应商应当到广东省电子商务认证有限公司办理。电子签名及电子签章与手写签名或者盖章具有同等的法律效力。</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（七）日期、天数、时间：未有特别说明时，均为公历日（天）及北京时间。</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bookmarkStart w:id="67" w:name="_Toc401575140"/>
      <w:bookmarkStart w:id="68" w:name="_Toc175644386"/>
      <w:bookmarkStart w:id="69" w:name="_Toc403491562"/>
      <w:r>
        <w:rPr>
          <w:rFonts w:hint="eastAsia" w:ascii="宋体" w:hAnsi="宋体" w:eastAsia="宋体" w:cs="宋体"/>
          <w:highlight w:val="none"/>
        </w:rPr>
        <w:t>（八）采购信息发布及结果公告发布网站：广东省政府采购网（https://gdgpo.czt.gd.gov.cn）、广州粮食交易综合服务平台（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"http://liangshi.gzaee.cn/" </w:instrText>
      </w:r>
      <w:r>
        <w:rPr>
          <w:rFonts w:hint="eastAsia" w:ascii="宋体" w:hAnsi="宋体" w:eastAsia="宋体" w:cs="宋体"/>
          <w:highlight w:val="none"/>
        </w:rPr>
        <w:fldChar w:fldCharType="separate"/>
      </w:r>
      <w:r>
        <w:rPr>
          <w:rFonts w:hint="eastAsia" w:ascii="宋体" w:hAnsi="宋体" w:eastAsia="宋体" w:cs="宋体"/>
          <w:highlight w:val="none"/>
        </w:rPr>
        <w:t>http://liangshi.gzaee.cn</w:t>
      </w:r>
      <w:r>
        <w:rPr>
          <w:rFonts w:hint="eastAsia" w:ascii="宋体" w:hAnsi="宋体" w:eastAsia="宋体" w:cs="宋体"/>
          <w:highlight w:val="none"/>
        </w:rPr>
        <w:fldChar w:fldCharType="end"/>
      </w:r>
      <w:r>
        <w:rPr>
          <w:rFonts w:hint="eastAsia" w:ascii="宋体" w:hAnsi="宋体" w:eastAsia="宋体" w:cs="宋体"/>
          <w:highlight w:val="none"/>
        </w:rPr>
        <w:t>）和广州农村产权交易所有限公司（</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"http://www.gzaee.cn/" </w:instrText>
      </w:r>
      <w:r>
        <w:rPr>
          <w:rFonts w:hint="eastAsia" w:ascii="宋体" w:hAnsi="宋体" w:eastAsia="宋体" w:cs="宋体"/>
          <w:highlight w:val="none"/>
        </w:rPr>
        <w:fldChar w:fldCharType="separate"/>
      </w:r>
      <w:r>
        <w:rPr>
          <w:rFonts w:hint="eastAsia" w:ascii="宋体" w:hAnsi="宋体" w:eastAsia="宋体" w:cs="宋体"/>
          <w:highlight w:val="none"/>
        </w:rPr>
        <w:t>http://www.gzaee.cn</w:t>
      </w:r>
      <w:r>
        <w:rPr>
          <w:rFonts w:hint="eastAsia" w:ascii="宋体" w:hAnsi="宋体" w:eastAsia="宋体" w:cs="宋体"/>
          <w:highlight w:val="none"/>
        </w:rPr>
        <w:fldChar w:fldCharType="end"/>
      </w:r>
      <w:r>
        <w:rPr>
          <w:rFonts w:hint="eastAsia" w:ascii="宋体" w:hAnsi="宋体" w:eastAsia="宋体" w:cs="宋体"/>
          <w:highlight w:val="none"/>
        </w:rPr>
        <w:t>）。</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70" w:name="_Toc26329"/>
      <w:r>
        <w:rPr>
          <w:rFonts w:hint="eastAsia" w:ascii="宋体" w:hAnsi="宋体" w:eastAsia="宋体" w:cs="宋体"/>
          <w:b/>
          <w:bCs/>
          <w:highlight w:val="none"/>
        </w:rPr>
        <w:t>二、协商文件的澄清修改</w:t>
      </w:r>
      <w:bookmarkEnd w:id="70"/>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（一）提交响应文件截止之日前，</w:t>
      </w:r>
      <w:r>
        <w:rPr>
          <w:rFonts w:hint="eastAsia" w:ascii="宋体" w:hAnsi="宋体" w:eastAsia="宋体" w:cs="宋体"/>
          <w:highlight w:val="none"/>
          <w:lang w:eastAsia="zh-CN"/>
        </w:rPr>
        <w:t>广州农村产权交易所有限公司（下称农交所）</w:t>
      </w:r>
      <w:r>
        <w:rPr>
          <w:rFonts w:hint="eastAsia" w:ascii="宋体" w:hAnsi="宋体" w:eastAsia="宋体" w:cs="宋体"/>
          <w:highlight w:val="none"/>
        </w:rPr>
        <w:t>可对协商文件进行必要的澄清或者修改，为使供应商有合理的时间理解协商文件的修改，</w:t>
      </w:r>
      <w:r>
        <w:rPr>
          <w:rFonts w:hint="eastAsia" w:ascii="宋体" w:hAnsi="宋体" w:eastAsia="宋体" w:cs="宋体"/>
          <w:highlight w:val="none"/>
          <w:lang w:eastAsia="zh-CN"/>
        </w:rPr>
        <w:t>农交所</w:t>
      </w:r>
      <w:r>
        <w:rPr>
          <w:rFonts w:hint="eastAsia" w:ascii="宋体" w:hAnsi="宋体" w:eastAsia="宋体" w:cs="宋体"/>
          <w:highlight w:val="none"/>
        </w:rPr>
        <w:t>可酌情推迟报价时间。</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（二）更正文件为协商文件的组成部分，一经在采购信息发布网站发布，系统将自动通过短信提示以及系统后台消息提示方式发送给已在广州粮食交易综合服务平台进行项目</w:t>
      </w:r>
      <w:r>
        <w:rPr>
          <w:rFonts w:hint="eastAsia" w:ascii="宋体" w:hAnsi="宋体" w:eastAsia="宋体" w:cs="宋体"/>
          <w:highlight w:val="none"/>
          <w:lang w:eastAsia="zh-CN"/>
        </w:rPr>
        <w:t>响应</w:t>
      </w:r>
      <w:r>
        <w:rPr>
          <w:rFonts w:hint="eastAsia" w:ascii="宋体" w:hAnsi="宋体" w:eastAsia="宋体" w:cs="宋体"/>
          <w:highlight w:val="none"/>
        </w:rPr>
        <w:t>登记的供应商，视同已通知所有</w:t>
      </w:r>
      <w:r>
        <w:rPr>
          <w:rFonts w:hint="eastAsia" w:ascii="宋体" w:hAnsi="宋体" w:eastAsia="宋体" w:cs="宋体"/>
          <w:highlight w:val="none"/>
          <w:lang w:eastAsia="zh-CN"/>
        </w:rPr>
        <w:t>协商</w:t>
      </w:r>
      <w:r>
        <w:rPr>
          <w:rFonts w:hint="eastAsia" w:ascii="宋体" w:hAnsi="宋体" w:eastAsia="宋体" w:cs="宋体"/>
          <w:highlight w:val="none"/>
        </w:rPr>
        <w:t>文件的收受人。</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（三）如更正文件有重新发布电子协商文件的，供应商应下载最新发布的电子协商文件制作响应文件。</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71" w:name="_Toc31191"/>
      <w:r>
        <w:rPr>
          <w:rFonts w:hint="eastAsia" w:ascii="宋体" w:hAnsi="宋体" w:eastAsia="宋体" w:cs="宋体"/>
          <w:b/>
          <w:bCs/>
          <w:highlight w:val="none"/>
        </w:rPr>
        <w:t>三、报价的费用</w:t>
      </w:r>
      <w:bookmarkEnd w:id="71"/>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（一）不论协商的结果如何，供应商应自行承担所有与编写和提交响应文件有关的费用。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采购人委托成交供应商支付交易服务费，其响应总报价中须包含交易服务费。成交供应商在下载打印电子《成交通知书》前应向广州农村产权交易所有限公司支付交易服务费。</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成交供应商凭CA数字证书登录广州粮食交易综合服务平台查询支付金额，并向广州农村产权交易所有限公司直接交纳交易服务费，银行汇票、电汇、转账账号信息如下（请注明所中项目编号）：</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户  名：广州农村产权交易所有限公司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帐  号：20344999900100000749251</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开户行：中国农业发展银行广东省分行营业部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根据省财政厅的统一部署和安排，按照《广州市发展改革委转发省发展改革委关于规范公共资源交易服务收费及有关问题的通知》(穗发改[2017]811号)要求，广州农村产权交易所有限公司（以下简称我司）代理采购类项目交易服务费采用全省统一标准，具体如下：</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（1）交易服务费币种为“人民币”</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（2）交易服务费以采购额按差额定率累进法（如下表）计算。</w:t>
      </w:r>
    </w:p>
    <w:tbl>
      <w:tblPr>
        <w:tblStyle w:val="18"/>
        <w:tblW w:w="6160" w:type="dxa"/>
        <w:tblInd w:w="1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采购额</w:t>
            </w:r>
          </w:p>
        </w:tc>
        <w:tc>
          <w:tcPr>
            <w:tcW w:w="1623"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采购额≤100万元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100万元＜采购额≤500万元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500万元＜采购额≤1000万元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1000万元＜采购额≤5000万元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5000万元＜采购额≤1亿元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1亿元＜采购额≤5亿元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0.0</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5亿元＜采购额≤10亿元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0.0</w:t>
            </w:r>
            <w:r>
              <w:rPr>
                <w:rFonts w:hint="eastAsia" w:ascii="宋体" w:hAnsi="宋体" w:eastAsia="宋体" w:cs="宋体"/>
                <w:color w:val="000000"/>
                <w:sz w:val="24"/>
                <w:szCs w:val="24"/>
                <w:highlight w:val="none"/>
                <w:lang w:val="en-US" w:eastAsia="zh-CN"/>
              </w:rPr>
              <w:t>35</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10亿元＜采购额≤50亿元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0.00</w:t>
            </w:r>
            <w:r>
              <w:rPr>
                <w:rFonts w:hint="eastAsia" w:ascii="宋体" w:hAnsi="宋体" w:eastAsia="宋体" w:cs="宋体"/>
                <w:color w:val="000000"/>
                <w:sz w:val="24"/>
                <w:szCs w:val="24"/>
                <w:highlight w:val="none"/>
                <w:lang w:val="en-US" w:eastAsia="zh-CN"/>
              </w:rPr>
              <w:t>08</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50亿元＜采购额≤100亿元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0.00</w:t>
            </w:r>
            <w:r>
              <w:rPr>
                <w:rFonts w:hint="eastAsia" w:ascii="宋体" w:hAnsi="宋体" w:eastAsia="宋体" w:cs="宋体"/>
                <w:color w:val="000000"/>
                <w:sz w:val="24"/>
                <w:szCs w:val="24"/>
                <w:highlight w:val="none"/>
                <w:lang w:val="en-US" w:eastAsia="zh-CN"/>
              </w:rPr>
              <w:t>06</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4537"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right="0" w:rightChars="0" w:firstLine="0" w:firstLineChars="0"/>
              <w:jc w:val="center"/>
              <w:rPr>
                <w:rFonts w:hint="eastAsia" w:ascii="宋体" w:hAnsi="宋体" w:eastAsia="宋体" w:cs="宋体"/>
                <w:highlight w:val="none"/>
              </w:rPr>
            </w:pPr>
            <w:r>
              <w:rPr>
                <w:rFonts w:hint="eastAsia" w:ascii="宋体" w:hAnsi="宋体" w:eastAsia="宋体" w:cs="宋体"/>
                <w:b w:val="0"/>
                <w:bCs w:val="0"/>
                <w:sz w:val="24"/>
                <w:szCs w:val="24"/>
                <w:highlight w:val="none"/>
                <w:lang w:val="en-US" w:eastAsia="zh-CN"/>
              </w:rPr>
              <w:t>采购额＞100亿元</w:t>
            </w:r>
          </w:p>
        </w:tc>
        <w:tc>
          <w:tcPr>
            <w:tcW w:w="1623" w:type="dxa"/>
            <w:tcBorders>
              <w:top w:val="single" w:color="auto" w:sz="4" w:space="0"/>
              <w:left w:val="single" w:color="auto" w:sz="4" w:space="0"/>
              <w:bottom w:val="single" w:color="auto" w:sz="4" w:space="0"/>
              <w:right w:val="single" w:color="auto" w:sz="4" w:space="0"/>
            </w:tcBorders>
            <w:vAlign w:val="center"/>
          </w:tcPr>
          <w:p>
            <w:pPr>
              <w:pStyle w:val="17"/>
              <w:ind w:left="0" w:leftChars="0" w:right="0" w:rightChars="0"/>
              <w:jc w:val="center"/>
              <w:rPr>
                <w:rFonts w:hint="eastAsia" w:ascii="宋体" w:hAnsi="宋体" w:eastAsia="宋体" w:cs="宋体"/>
                <w:highlight w:val="none"/>
              </w:rPr>
            </w:pPr>
            <w:r>
              <w:rPr>
                <w:rFonts w:hint="eastAsia" w:ascii="宋体" w:hAnsi="宋体" w:eastAsia="宋体" w:cs="宋体"/>
                <w:color w:val="000000"/>
                <w:sz w:val="24"/>
                <w:szCs w:val="24"/>
                <w:highlight w:val="none"/>
              </w:rPr>
              <w:t>0.00</w:t>
            </w:r>
            <w:r>
              <w:rPr>
                <w:rFonts w:hint="eastAsia" w:ascii="宋体" w:hAnsi="宋体" w:eastAsia="宋体" w:cs="宋体"/>
                <w:color w:val="000000"/>
                <w:sz w:val="24"/>
                <w:szCs w:val="24"/>
                <w:highlight w:val="none"/>
                <w:lang w:val="en-US" w:eastAsia="zh-CN"/>
              </w:rPr>
              <w:t>04</w:t>
            </w:r>
            <w:r>
              <w:rPr>
                <w:rFonts w:hint="eastAsia" w:ascii="宋体" w:hAnsi="宋体" w:eastAsia="宋体" w:cs="宋体"/>
                <w:color w:val="000000"/>
                <w:sz w:val="24"/>
                <w:szCs w:val="24"/>
                <w:highlight w:val="none"/>
              </w:rPr>
              <w:t>%</w:t>
            </w:r>
          </w:p>
        </w:tc>
      </w:tr>
    </w:tbl>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注：本项目采购额为采购预算金额。</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广州农村产权交易所有限公司按以上收费标准和采购预算向成交供应商收取交易服务费。</w:t>
      </w:r>
      <w:bookmarkEnd w:id="67"/>
      <w:bookmarkEnd w:id="68"/>
      <w:bookmarkEnd w:id="69"/>
      <w:bookmarkStart w:id="72" w:name="_Toc101771360"/>
      <w:bookmarkStart w:id="73" w:name="_Toc50276143"/>
      <w:bookmarkStart w:id="74" w:name="_Toc98580279"/>
      <w:bookmarkStart w:id="75" w:name="_Toc98579596"/>
      <w:bookmarkStart w:id="76" w:name="_Toc42313157"/>
      <w:bookmarkStart w:id="77" w:name="_Toc42394659"/>
      <w:bookmarkStart w:id="78" w:name="_Toc101843113"/>
      <w:bookmarkStart w:id="79" w:name="_Toc101775113"/>
      <w:bookmarkStart w:id="80" w:name="_Toc42394502"/>
      <w:bookmarkStart w:id="81" w:name="_Toc98578997"/>
      <w:bookmarkStart w:id="82" w:name="_Toc98579055"/>
      <w:bookmarkStart w:id="83" w:name="_Toc101951246"/>
      <w:bookmarkStart w:id="84" w:name="_Toc134956120"/>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85" w:name="_Toc1083"/>
      <w:r>
        <w:rPr>
          <w:rFonts w:hint="eastAsia" w:ascii="宋体" w:hAnsi="宋体" w:eastAsia="宋体" w:cs="宋体"/>
          <w:b/>
          <w:bCs/>
          <w:highlight w:val="none"/>
        </w:rPr>
        <w:t>四、报价有效期</w:t>
      </w:r>
      <w:bookmarkEnd w:id="85"/>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开标后90天。在特殊情况下</w:t>
      </w:r>
      <w:r>
        <w:rPr>
          <w:rFonts w:hint="eastAsia" w:ascii="宋体" w:hAnsi="宋体" w:eastAsia="宋体" w:cs="宋体"/>
          <w:highlight w:val="none"/>
          <w:lang w:eastAsia="zh-CN"/>
        </w:rPr>
        <w:t>经采购人同意，广州农村产权交易所有限公司</w:t>
      </w:r>
      <w:r>
        <w:rPr>
          <w:rFonts w:hint="eastAsia" w:ascii="宋体" w:hAnsi="宋体" w:eastAsia="宋体" w:cs="宋体"/>
          <w:highlight w:val="none"/>
        </w:rPr>
        <w:t>可于报价有效期满之前要求供应商同意延长有效期，要求与答复均以书面形式进行。供应商可以拒绝上述要求，但其报价将会被拒绝；供应商同意延期的其权利与义务也相应延至新的截止期。</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86" w:name="_Toc3495"/>
      <w:r>
        <w:rPr>
          <w:rFonts w:hint="eastAsia" w:ascii="宋体" w:hAnsi="宋体" w:eastAsia="宋体" w:cs="宋体"/>
          <w:b/>
          <w:bCs/>
          <w:highlight w:val="none"/>
        </w:rPr>
        <w:t>五、响应文件的制作</w:t>
      </w:r>
      <w:bookmarkEnd w:id="86"/>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（一）响应文件中，</w:t>
      </w:r>
      <w:r>
        <w:rPr>
          <w:rFonts w:hint="eastAsia" w:ascii="宋体" w:hAnsi="宋体" w:eastAsia="宋体" w:cs="宋体"/>
          <w:highlight w:val="none"/>
          <w:lang w:eastAsia="zh-CN"/>
        </w:rPr>
        <w:t>供应商编制响应文件应按本响应文件需求以电子文件编制，其格式要求详见第五章说明</w:t>
      </w:r>
      <w:r>
        <w:rPr>
          <w:rFonts w:hint="eastAsia" w:ascii="宋体" w:hAnsi="宋体" w:eastAsia="宋体" w:cs="宋体"/>
          <w:highlight w:val="none"/>
        </w:rPr>
        <w:t>。如因不按要求编制而引起系统无法检索、读取相关信息时，其后果由供应商承担。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（二）供应商应使用</w:t>
      </w:r>
      <w:r>
        <w:rPr>
          <w:rFonts w:hint="eastAsia" w:ascii="宋体" w:hAnsi="宋体" w:eastAsia="宋体" w:cs="宋体"/>
          <w:highlight w:val="none"/>
          <w:lang w:eastAsia="zh-CN"/>
        </w:rPr>
        <w:t>农交所</w:t>
      </w:r>
      <w:r>
        <w:rPr>
          <w:rFonts w:hint="eastAsia" w:ascii="宋体" w:hAnsi="宋体" w:eastAsia="宋体" w:cs="宋体"/>
          <w:highlight w:val="none"/>
        </w:rPr>
        <w:t>提供的投标管理软件对响应文件进行合成、电子签名、电子签章及加密打包。所有响应文件不能进行压缩处理。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rPr>
        <w:t>（三）供应商不得将同一个项目或同一个子项目的内容拆开报价，否则其报价将被视为非实质性响应。</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（四）供应商须对协商文件的对应要求给予唯一的实质性响应，否则将视为不响应。</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（五）供应商要按协商文件指定的格式填写各种报价，各报价应计算正</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确。除在协商文件另有规定外，计量单位应使用中华人民共和国法定计量单位，以人民币填报所有报价。</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（六）</w:t>
      </w:r>
      <w:r>
        <w:rPr>
          <w:rFonts w:hint="eastAsia" w:ascii="宋体" w:hAnsi="宋体" w:eastAsia="宋体" w:cs="宋体"/>
          <w:highlight w:val="none"/>
        </w:rPr>
        <w:t>响应文件以及供应商与采购人、</w:t>
      </w:r>
      <w:r>
        <w:rPr>
          <w:rFonts w:hint="eastAsia" w:ascii="宋体" w:hAnsi="宋体" w:eastAsia="宋体" w:cs="宋体"/>
          <w:highlight w:val="none"/>
          <w:lang w:eastAsia="zh-CN"/>
        </w:rPr>
        <w:t>代理机构</w:t>
      </w:r>
      <w:r>
        <w:rPr>
          <w:rFonts w:hint="eastAsia" w:ascii="宋体" w:hAnsi="宋体" w:eastAsia="宋体" w:cs="宋体"/>
          <w:highlight w:val="none"/>
        </w:rPr>
        <w:t>之间的往来函电均应使用中文。供应商提交的支持性文件和印制的文件可以用另一种语言，但相应内容应翻译成中文，在解释响应文件时以中文文本为准。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七）供应商按协商文件规定的格式完整地填写和提供资料，必须对所提供全部资料的真实性承担法律责任，并无条件接受采购人和政府采购监督管理部门对其中任何资料进行核实（核对原件）的要求。采购人核对发现有不一致或供应商无正当理由不按时提供原件的，书面知会采购代理机构，并书面报告本级人民政府财政部门</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highlight w:val="none"/>
        </w:rPr>
      </w:pPr>
      <w:bookmarkStart w:id="87" w:name="_Toc24456"/>
      <w:r>
        <w:rPr>
          <w:rFonts w:hint="eastAsia" w:ascii="宋体" w:hAnsi="宋体" w:eastAsia="宋体" w:cs="宋体"/>
          <w:b/>
          <w:bCs/>
          <w:highlight w:val="none"/>
        </w:rPr>
        <w:t>六、响应文件的提交与解密</w:t>
      </w:r>
      <w:bookmarkEnd w:id="87"/>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（一）供应商应在上传电子响应文件前，在</w:t>
      </w:r>
      <w:r>
        <w:rPr>
          <w:rFonts w:hint="eastAsia" w:ascii="宋体" w:hAnsi="宋体" w:eastAsia="宋体" w:cs="宋体"/>
          <w:highlight w:val="none"/>
          <w:lang w:eastAsia="zh-CN"/>
        </w:rPr>
        <w:t>广州粮食交易综合服务平台系统</w:t>
      </w:r>
      <w:r>
        <w:rPr>
          <w:rFonts w:hint="eastAsia" w:ascii="宋体" w:hAnsi="宋体" w:eastAsia="宋体" w:cs="宋体"/>
          <w:highlight w:val="none"/>
        </w:rPr>
        <w:t>中完成项目响应登记。</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（二）</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不接受现场纸质、邮寄纸质、电报、电话、传真方式提交的响应文件。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（三）</w:t>
      </w:r>
      <w:r>
        <w:rPr>
          <w:rFonts w:hint="eastAsia" w:ascii="宋体" w:hAnsi="宋体" w:eastAsia="宋体" w:cs="宋体"/>
          <w:highlight w:val="none"/>
          <w:lang w:eastAsia="zh-CN"/>
        </w:rPr>
        <w:t>于提交响应文件截止时间前，供应商将响应文件完整上传并保存在广州粮食交易综合服务平台系统中。时间以广州粮食交易综合服务平台系统服务器从中国科学院国家授时中心取得的北京时间为准，响应截止时间结束后，系统将不允许供应商上传响应文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（四）</w:t>
      </w:r>
      <w:r>
        <w:rPr>
          <w:rFonts w:hint="eastAsia" w:ascii="宋体" w:hAnsi="宋体" w:eastAsia="宋体" w:cs="宋体"/>
          <w:highlight w:val="none"/>
          <w:lang w:eastAsia="zh-CN"/>
        </w:rPr>
        <w:t>供应商须在规定的解密时间内，使用制作该</w:t>
      </w:r>
      <w:r>
        <w:rPr>
          <w:rFonts w:hint="eastAsia" w:ascii="宋体" w:hAnsi="宋体" w:eastAsia="宋体" w:cs="宋体"/>
          <w:highlight w:val="none"/>
          <w:lang w:val="en-US" w:eastAsia="zh-CN"/>
        </w:rPr>
        <w:t>响应</w:t>
      </w:r>
      <w:r>
        <w:rPr>
          <w:rFonts w:hint="eastAsia" w:ascii="宋体" w:hAnsi="宋体" w:eastAsia="宋体" w:cs="宋体"/>
          <w:highlight w:val="none"/>
          <w:lang w:eastAsia="zh-CN"/>
        </w:rPr>
        <w:t>文件的同一业务数字证书对</w:t>
      </w:r>
      <w:r>
        <w:rPr>
          <w:rFonts w:hint="eastAsia" w:ascii="宋体" w:hAnsi="宋体" w:eastAsia="宋体" w:cs="宋体"/>
          <w:highlight w:val="none"/>
          <w:lang w:val="en-US" w:eastAsia="zh-CN"/>
        </w:rPr>
        <w:t>响应</w:t>
      </w:r>
      <w:r>
        <w:rPr>
          <w:rFonts w:hint="eastAsia" w:ascii="宋体" w:hAnsi="宋体" w:eastAsia="宋体" w:cs="宋体"/>
          <w:highlight w:val="none"/>
          <w:lang w:eastAsia="zh-CN"/>
        </w:rPr>
        <w:t>文件进行解密，逾期未解密的响应文件作无效响应处理。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（五）</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对因不可抗力事件造成的响应文件的损坏、丢失的，不承担责任。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（六）开标时出现下述情形之一，</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允许供应商再次提交，并酌情顺延协商时间</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1.响应文件未完整上传并保存、或加密失败的；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2.响应文件未按要求进行电子签名和电子签章，或电子签名或电子签章不完整的；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3.响应文件损坏或格式不正确的；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4.响应文件未成功解密的。</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88" w:name="_Toc10152"/>
      <w:r>
        <w:rPr>
          <w:rFonts w:hint="eastAsia" w:ascii="宋体" w:hAnsi="宋体" w:eastAsia="宋体" w:cs="宋体"/>
          <w:b/>
          <w:bCs/>
          <w:highlight w:val="none"/>
        </w:rPr>
        <w:t>七、质疑</w:t>
      </w:r>
      <w:bookmarkEnd w:id="88"/>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（一）供应商认为协商文件、采购过程和成交结果使自己的权益受到损害的，可以在知道或者应知其权益受到损害之日起七个工作日内，以书面原件形式向采购人或</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一次性提出针对同一采购程序环节的质疑，逾期质疑无效。供应商应知其权益受到损害之日是指：</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1.对协商文件提出质疑的，为获得协商文件之日或者协商文件公告期限届满之日；</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2.对采购过程提出质疑的，为各采购程序环节结束之日；</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3.对成交结果提出质疑的，为成交结果公告期限届满之日。</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（二）质疑函应当包括下列主要内容：</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1.质疑供应商和相关供应商的名称、地址、邮编、联系人及联系电话等；</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2.质疑项目名称及编号、具体、明确的质疑事项和与质疑事项相关的请求；</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3.认为</w:t>
      </w:r>
      <w:r>
        <w:rPr>
          <w:rFonts w:hint="eastAsia" w:ascii="宋体" w:hAnsi="宋体" w:eastAsia="宋体" w:cs="宋体"/>
          <w:highlight w:val="none"/>
          <w:lang w:eastAsia="zh-CN"/>
        </w:rPr>
        <w:t>协商</w:t>
      </w:r>
      <w:r>
        <w:rPr>
          <w:rFonts w:hint="eastAsia" w:ascii="宋体" w:hAnsi="宋体" w:eastAsia="宋体" w:cs="宋体"/>
          <w:highlight w:val="none"/>
        </w:rPr>
        <w:t>文件、采购过程、成交结果使自己的合法权益受到损害的法律依据、事实依据、相关证明材料及证据来源；</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4.提出质疑的日期。</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（三）质疑函应当署名。质疑供应商为自然人的，应当由本人签字；质疑供应商为法人或者其他组织的，应当由法定代表人、主要负责人，或者其授权代表签字或者盖章，并加盖公章。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（四）供应商质疑应当有明确的请求和必要的证明材料。质疑内容不得含有虚假、恶意成份。依照谁主张谁举证的原则，提出质疑者必须同时提交相关确凿的证据材料和注明证据的确切来源，证据来源必须合法，</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有权将质疑函转发质疑事项各关联方，请其作出解释说明。对捏造事实、滥用维权扰乱采购秩序的恶意质疑者，将上报政府采购监督管理部门依法处理，同时交易中心将在企业信用档案中予以记录，对综合信用评价得分予以扣除。</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（五）质疑供应商对采购人、</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的质疑答复不满意，或者采购人、</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未在规定期限内作出答复的，可以在答复期满后15个工作日内向采购人的同级政府采购监督管理部门提起投诉。</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（六）质疑受理部门：</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rPr>
        <w:t>（七）提交质疑函地点：</w:t>
      </w:r>
      <w:r>
        <w:rPr>
          <w:rFonts w:hint="eastAsia" w:ascii="宋体" w:hAnsi="宋体" w:eastAsia="宋体" w:cs="宋体"/>
          <w:highlight w:val="none"/>
          <w:lang w:eastAsia="zh-CN"/>
        </w:rPr>
        <w:t>广州市越秀区流花路123号广州越秀国际会议中心北塔9楼</w:t>
      </w:r>
      <w:r>
        <w:rPr>
          <w:rFonts w:hint="eastAsia" w:ascii="宋体" w:hAnsi="宋体" w:eastAsia="宋体" w:cs="宋体"/>
          <w:highlight w:val="none"/>
        </w:rPr>
        <w:t>。</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（八）本次采购活动中，</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作出的质疑答复等文件的送达方式为现场取件或邮寄。</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89" w:name="_Toc15726"/>
      <w:r>
        <w:rPr>
          <w:rFonts w:hint="eastAsia" w:ascii="宋体" w:hAnsi="宋体" w:eastAsia="宋体" w:cs="宋体"/>
          <w:b/>
          <w:bCs/>
          <w:highlight w:val="none"/>
        </w:rPr>
        <w:t>八、签约</w:t>
      </w:r>
      <w:bookmarkEnd w:id="89"/>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采购人与成交供应商应当在《成交通知书》发出之日起</w:t>
      </w:r>
      <w:r>
        <w:rPr>
          <w:rFonts w:hint="eastAsia" w:ascii="宋体" w:hAnsi="宋体" w:eastAsia="宋体" w:cs="宋体"/>
          <w:highlight w:val="none"/>
          <w:lang w:eastAsia="zh-CN"/>
        </w:rPr>
        <w:t>三</w:t>
      </w:r>
      <w:r>
        <w:rPr>
          <w:rFonts w:hint="eastAsia" w:ascii="宋体" w:hAnsi="宋体" w:eastAsia="宋体" w:cs="宋体"/>
          <w:highlight w:val="none"/>
        </w:rPr>
        <w:t>十日内（第二章采购需求有相应约定的从其约定），按照协商文件确定的事项签订政府采购合同，合同条款不得与协商文件和响应文件内容有实质性偏离。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采购人应当自政府采购合同签订之日起2个工作日内，将政府采购合同在省级以上人民政府财政部门指定的媒体上公告，但政府采购合同中涉及国家秘密、商业秘密的内容除外。</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90" w:name="_Toc31576"/>
      <w:r>
        <w:rPr>
          <w:rFonts w:hint="eastAsia" w:ascii="宋体" w:hAnsi="宋体" w:eastAsia="宋体" w:cs="宋体"/>
          <w:b/>
          <w:bCs/>
          <w:highlight w:val="none"/>
        </w:rPr>
        <w:t>九、知识产权</w:t>
      </w:r>
      <w:bookmarkEnd w:id="90"/>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一）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（二）报价应包含所有应向所有权人支付的专利权、商标权或其它知识产权的一切相关费用。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（三）系统软件、通用软件必须是具有在中国境内的合法使用权或版权的正版软件，涉及到第三方提出侵权或知识产权的起诉及支付版税等费用由供应商承担所有责任及费用。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（四）成交供应商需对所有成果、产品的知识产权负有瑕疵担保责任，因使用未被授权使用的技术、组件、系统软件、通用软件等知识产权问题引起的纠纷所产生的所有责任及费用由成交供应商自行承担。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五）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成交供应商不得将相关采购人资料提供给第三方。</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91" w:name="_Toc9944"/>
      <w:r>
        <w:rPr>
          <w:rFonts w:hint="eastAsia" w:ascii="宋体" w:hAnsi="宋体" w:eastAsia="宋体" w:cs="宋体"/>
          <w:b/>
          <w:bCs/>
          <w:highlight w:val="none"/>
        </w:rPr>
        <w:t>十、协商文件的解释权</w:t>
      </w:r>
      <w:bookmarkEnd w:id="91"/>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本协商文件由</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负责解释。</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sectPr>
          <w:pgSz w:w="11906" w:h="16838"/>
          <w:pgMar w:top="1440" w:right="1800" w:bottom="1440" w:left="1800" w:header="851" w:footer="992" w:gutter="0"/>
          <w:cols w:space="425" w:num="1"/>
          <w:docGrid w:type="lines" w:linePitch="312" w:charSpace="0"/>
        </w:sectPr>
      </w:pPr>
    </w:p>
    <w:bookmarkEnd w:id="72"/>
    <w:bookmarkEnd w:id="73"/>
    <w:bookmarkEnd w:id="74"/>
    <w:bookmarkEnd w:id="75"/>
    <w:bookmarkEnd w:id="76"/>
    <w:bookmarkEnd w:id="77"/>
    <w:bookmarkEnd w:id="78"/>
    <w:bookmarkEnd w:id="79"/>
    <w:bookmarkEnd w:id="80"/>
    <w:bookmarkEnd w:id="81"/>
    <w:bookmarkEnd w:id="82"/>
    <w:bookmarkEnd w:id="83"/>
    <w:bookmarkEnd w:id="84"/>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center"/>
        <w:textAlignment w:val="auto"/>
        <w:outlineLvl w:val="0"/>
        <w:rPr>
          <w:rFonts w:hint="eastAsia" w:ascii="宋体" w:hAnsi="宋体" w:eastAsia="宋体" w:cs="宋体"/>
          <w:sz w:val="32"/>
          <w:szCs w:val="32"/>
          <w:highlight w:val="none"/>
          <w:lang w:eastAsia="zh-CN"/>
        </w:rPr>
      </w:pPr>
      <w:bookmarkStart w:id="92" w:name="_Toc256000014"/>
      <w:bookmarkStart w:id="93" w:name="_Toc256000026"/>
      <w:bookmarkStart w:id="94" w:name="_Toc22140"/>
      <w:bookmarkStart w:id="95" w:name="_Toc705"/>
      <w:bookmarkStart w:id="96" w:name="_Toc3026"/>
      <w:bookmarkStart w:id="97" w:name="_Toc47027011"/>
      <w:bookmarkStart w:id="98" w:name="_Toc81320129"/>
      <w:bookmarkStart w:id="99" w:name="_Toc37331081"/>
      <w:bookmarkStart w:id="100" w:name="_Toc46308528"/>
      <w:bookmarkStart w:id="101" w:name="_Toc37581421"/>
      <w:bookmarkStart w:id="102" w:name="_Toc40762371"/>
      <w:bookmarkStart w:id="103" w:name="_Toc37245277"/>
      <w:bookmarkStart w:id="104" w:name="_Toc37331039"/>
      <w:bookmarkStart w:id="105" w:name="_Toc37569520"/>
      <w:bookmarkStart w:id="106" w:name="_Toc37663392"/>
      <w:bookmarkStart w:id="107" w:name="_Toc46308684"/>
      <w:bookmarkStart w:id="108" w:name="_Toc403491566"/>
      <w:bookmarkStart w:id="109" w:name="_Toc7863_WPSOffice_Level1"/>
      <w:r>
        <w:rPr>
          <w:rFonts w:hint="eastAsia" w:ascii="宋体" w:hAnsi="宋体" w:eastAsia="宋体" w:cs="宋体"/>
          <w:sz w:val="32"/>
          <w:szCs w:val="32"/>
          <w:highlight w:val="none"/>
          <w:lang w:eastAsia="zh-CN"/>
        </w:rPr>
        <w:t>采购需求</w:t>
      </w:r>
      <w:bookmarkEnd w:id="92"/>
      <w:bookmarkEnd w:id="93"/>
      <w:bookmarkEnd w:id="94"/>
      <w:bookmarkEnd w:id="95"/>
      <w:bookmarkEnd w:id="96"/>
      <w:bookmarkEnd w:id="97"/>
      <w:bookmarkEnd w:id="98"/>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eastAsia" w:ascii="宋体" w:hAnsi="宋体" w:eastAsia="宋体" w:cs="宋体"/>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1、供应商须对本项目为单位的服务进行整体响应，任何只对其中一部分内容进行的响应都被视为无效响应。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2、用户需求书中打“★”号条款为实质性条款，供应商如有任何一条负偏离则导致响应无效。</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本项目采购的储备粮对应的中小微企业划分标准所属行业为：农林牧渔业。</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10" w:name="_Toc8416"/>
      <w:r>
        <w:rPr>
          <w:rFonts w:hint="eastAsia" w:ascii="宋体" w:hAnsi="宋体" w:eastAsia="宋体" w:cs="宋体"/>
          <w:b/>
          <w:bCs/>
          <w:highlight w:val="none"/>
          <w:lang w:eastAsia="zh-CN"/>
        </w:rPr>
        <w:t>一、工作目标</w:t>
      </w:r>
      <w:bookmarkEnd w:id="110"/>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按品种和数量补足区级储备粮规模，确保区级储备粮规模达标。</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11" w:name="_Toc26225"/>
      <w:r>
        <w:rPr>
          <w:rFonts w:hint="eastAsia" w:ascii="宋体" w:hAnsi="宋体" w:eastAsia="宋体" w:cs="宋体"/>
          <w:b/>
          <w:bCs/>
          <w:highlight w:val="none"/>
          <w:lang w:eastAsia="zh-CN"/>
        </w:rPr>
        <w:t>二、采购内容</w:t>
      </w:r>
      <w:bookmarkEnd w:id="111"/>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10500吨普通大米储备项目，确定1 个供应商作为中选储备粮库，协商小组按照符合采购需求、价格合理的原则推荐成交供应商。</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12" w:name="_Toc21887"/>
      <w:r>
        <w:rPr>
          <w:rFonts w:hint="eastAsia" w:ascii="宋体" w:hAnsi="宋体" w:eastAsia="宋体" w:cs="宋体"/>
          <w:b/>
          <w:bCs/>
          <w:highlight w:val="none"/>
          <w:lang w:eastAsia="zh-CN"/>
        </w:rPr>
        <w:t>三、报价要求</w:t>
      </w:r>
      <w:bookmarkEnd w:id="112"/>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普通大米入库价格人民币3790元/吨。</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13" w:name="_Toc8005"/>
      <w:r>
        <w:rPr>
          <w:rFonts w:hint="eastAsia" w:ascii="宋体" w:hAnsi="宋体" w:eastAsia="宋体" w:cs="宋体"/>
          <w:b/>
          <w:bCs/>
          <w:highlight w:val="none"/>
          <w:lang w:eastAsia="zh-CN"/>
        </w:rPr>
        <w:t>四、普通大米储备承储项目协商内容及要求</w:t>
      </w:r>
      <w:bookmarkEnd w:id="113"/>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（一）品种：普通大米</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（二）数量：10500吨。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（三）质量： 2021年产新粮，符合大米国家推荐标准（GB/T 1354-2018）“大米质量指标”中二级以上（含二级）籼米或者粳米质量指标要求（其中粳米水分含量≤14.5%）；酸度（按粮食及制品酸度测定GB5009.239－2016测定）≤0.8mL/10g；符合食品安全国家标准（GB 2715-2016）污染物限量指标要求：镉≤0.2mg/kg，铅≤0.2mg/kg。如果相关国家标准有变更，执行最新国家标准。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（四）包装：包装方式储存，包装物符合《塑料编织袋通用技术要求》国家推荐标准（GB/T 8946-2013）和广州市《储备粮塑料编织袋包装储藏技术规范》（穗储粮管〔2011〕22号）要求，包装规格符合国家推荐标准（GB/T 17109-2008）规定，包装规格为不大于50kg/袋。</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yellow"/>
          <w:lang w:eastAsia="zh-CN"/>
        </w:rPr>
        <w:t>（五）普通大米入库完成时间：2022年6月30日前入库数量完成70%，2022年7月31日前完成入库。如乙方需延迟入库的，须书面提出申请并说明合理理由，经甲方书面同意后，方可推迟入库完成时间。</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（六）普通大米入库报价价格：报价价格为入库堆边交割价。由各供应商根据市场行情提出。</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14" w:name="_Toc14995"/>
      <w:r>
        <w:rPr>
          <w:rFonts w:hint="eastAsia" w:ascii="宋体" w:hAnsi="宋体" w:eastAsia="宋体" w:cs="宋体"/>
          <w:b/>
          <w:bCs/>
          <w:highlight w:val="none"/>
          <w:lang w:eastAsia="zh-CN"/>
        </w:rPr>
        <w:t>五、响应规则</w:t>
      </w:r>
      <w:bookmarkEnd w:id="114"/>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（一）对响应粮库的要求</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响应粮库在广州市行政区域内（提供粮库的产权证明或当地粮食行政主管部门开具的使用权证明；若提供粮库的产权证明，供应商须提供响应粮库的不动产权证或粮库租赁合同，合同租赁期限须满足本批储备粮6年的承储期限），且已在粮食行政管理部门备案（提供广东省粮油仓储单位备案管理登记证或者广东省粮油企业管理系统备案证明）。</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★供应商须承诺单个响应粮库库区的有效仓容不低于20000吨（有效仓容不含棚仓等简易仓房）。</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★供应商须承诺承储普通大米的单个粮库库区的空仓仓容在10500吨以上。</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（二）★供应商在中国农业发展银行广东省分行营业部（含下属支行）开设基本账户或一般存款账户。</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（三）★中国农业发展银行信用等级达到BBB+级或以上（提供中国农业发展银行分支机构出具的2020年或者2021年相关证明）。</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（四）粮库需保留一定的周转仓容。</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（五）采购人保留在确认中选粮仓承储资格前依据响应承诺对中选粮仓进行现场响应承诺核查的权力。</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15" w:name="_Toc1662"/>
      <w:r>
        <w:rPr>
          <w:rFonts w:hint="eastAsia" w:ascii="宋体" w:hAnsi="宋体" w:eastAsia="宋体" w:cs="宋体"/>
          <w:b/>
          <w:bCs/>
          <w:highlight w:val="none"/>
          <w:lang w:eastAsia="zh-CN"/>
        </w:rPr>
        <w:t>六、入库要求</w:t>
      </w:r>
      <w:bookmarkEnd w:id="115"/>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（一）储备粮成交供应商要严格按照协商文件规定的品种、数量、质量，在规定期限内采购粮食入库。对超出标的数量，或品种、质量不符合要求的，不视作储备粮。</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（二）储备粮成交供应商要将承储的粮食存放在经核定的仓库，不得擅自更改存放库点。</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（三）新入库储备粮按入库价格设立专账核算。</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16" w:name="_Toc29228"/>
      <w:r>
        <w:rPr>
          <w:rFonts w:hint="eastAsia" w:ascii="宋体" w:hAnsi="宋体" w:eastAsia="宋体" w:cs="宋体"/>
          <w:b/>
          <w:bCs/>
          <w:highlight w:val="none"/>
          <w:lang w:eastAsia="zh-CN"/>
        </w:rPr>
        <w:t>七、承储管理</w:t>
      </w:r>
      <w:bookmarkEnd w:id="116"/>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（一）本批储备粮的承储期为6年。采购人有权在第3年起视情况单方面终止合同，并提前180天以上以书面形式通知成交供应商，采购人无需承担由此产生的责任及赔偿。</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承储期间，要按照《粮油储藏技术规范》《粮油储存安全责任暂行规定》《粮库安全生产守则》《粮油安全储存守则》《粮油仓储管理办法》《广州市本级储备粮油管理办法》《荔湾区本级储备粮油管理办法》等要求进行管理，如上述管理制度进行修订，则按修订后的制度执行。</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承储期间，成交供应商按照《荔湾区本级储备粮油管理办法》要求组织储备粮轮换，并通过与采购人签订动态轮换协议方式组织实施，确保储备粮常储常新。采购人可根据国家最新标准和国家、省、市有关储备粮政策要求适当调整区级储备粮入库指标。</w:t>
      </w:r>
      <w:bookmarkEnd w:id="99"/>
      <w:bookmarkEnd w:id="100"/>
      <w:bookmarkEnd w:id="101"/>
      <w:bookmarkEnd w:id="102"/>
      <w:bookmarkEnd w:id="103"/>
      <w:bookmarkEnd w:id="104"/>
      <w:bookmarkEnd w:id="105"/>
      <w:bookmarkEnd w:id="106"/>
      <w:bookmarkEnd w:id="107"/>
      <w:bookmarkStart w:id="117" w:name="_Toc256000027"/>
      <w:bookmarkStart w:id="118" w:name="_Toc81320130"/>
      <w:bookmarkStart w:id="119" w:name="_Toc256000005"/>
      <w:bookmarkStart w:id="120" w:name="_Toc256000015"/>
      <w:bookmarkStart w:id="121" w:name="_Toc53561726"/>
      <w:bookmarkStart w:id="122" w:name="_Toc51770935"/>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numPr>
          <w:ilvl w:val="0"/>
          <w:numId w:val="2"/>
        </w:numPr>
        <w:kinsoku/>
        <w:wordWrap/>
        <w:overflowPunct/>
        <w:topLinePunct w:val="0"/>
        <w:autoSpaceDE/>
        <w:autoSpaceDN/>
        <w:bidi w:val="0"/>
        <w:adjustRightInd/>
        <w:snapToGrid/>
        <w:spacing w:line="300" w:lineRule="auto"/>
        <w:jc w:val="center"/>
        <w:textAlignment w:val="auto"/>
        <w:outlineLvl w:val="0"/>
        <w:rPr>
          <w:rFonts w:hint="eastAsia" w:ascii="宋体" w:hAnsi="宋体" w:eastAsia="宋体" w:cs="宋体"/>
          <w:b/>
          <w:bCs/>
          <w:sz w:val="32"/>
          <w:szCs w:val="32"/>
          <w:highlight w:val="none"/>
          <w:lang w:eastAsia="zh-CN"/>
        </w:rPr>
      </w:pPr>
      <w:bookmarkStart w:id="123" w:name="_Toc27157"/>
      <w:bookmarkStart w:id="124" w:name="_Toc31476"/>
      <w:bookmarkStart w:id="125" w:name="_Toc1539"/>
      <w:r>
        <w:rPr>
          <w:rFonts w:hint="eastAsia" w:ascii="宋体" w:hAnsi="宋体" w:eastAsia="宋体" w:cs="宋体"/>
          <w:b/>
          <w:bCs/>
          <w:sz w:val="32"/>
          <w:szCs w:val="32"/>
          <w:highlight w:val="none"/>
          <w:lang w:eastAsia="zh-CN"/>
        </w:rPr>
        <w:t>合同格式</w:t>
      </w:r>
      <w:bookmarkEnd w:id="108"/>
      <w:bookmarkEnd w:id="109"/>
      <w:bookmarkEnd w:id="117"/>
      <w:bookmarkEnd w:id="118"/>
      <w:bookmarkEnd w:id="119"/>
      <w:bookmarkEnd w:id="120"/>
      <w:bookmarkEnd w:id="121"/>
      <w:bookmarkEnd w:id="122"/>
      <w:bookmarkEnd w:id="123"/>
      <w:bookmarkEnd w:id="124"/>
      <w:bookmarkEnd w:id="125"/>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bookmarkStart w:id="126" w:name="EB96da972056de4385935c5eeed9aedf73"/>
    </w:p>
    <w:bookmarkEnd w:id="126"/>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（本合同格式仅供参考，具体内容以最终签署的合同为准）</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1"/>
        <w:rPr>
          <w:rFonts w:hint="eastAsia" w:ascii="宋体" w:hAnsi="宋体" w:eastAsia="宋体" w:cs="宋体"/>
          <w:b/>
          <w:bCs/>
          <w:highlight w:val="none"/>
          <w:lang w:eastAsia="zh-CN"/>
        </w:rPr>
      </w:pPr>
      <w:bookmarkStart w:id="127" w:name="_Toc13898"/>
      <w:r>
        <w:rPr>
          <w:rFonts w:hint="eastAsia" w:ascii="宋体" w:hAnsi="宋体" w:eastAsia="宋体" w:cs="宋体"/>
          <w:b/>
          <w:bCs/>
          <w:highlight w:val="none"/>
          <w:lang w:eastAsia="zh-CN"/>
        </w:rPr>
        <w:t>广州市政府采购合同</w:t>
      </w:r>
      <w:bookmarkEnd w:id="127"/>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1"/>
        <w:rPr>
          <w:rFonts w:hint="eastAsia" w:ascii="宋体" w:hAnsi="宋体" w:eastAsia="宋体" w:cs="宋体"/>
          <w:b/>
          <w:bCs/>
          <w:highlight w:val="none"/>
          <w:lang w:eastAsia="zh-CN"/>
        </w:rPr>
      </w:pPr>
      <w:bookmarkStart w:id="128" w:name="_Toc20672"/>
      <w:r>
        <w:rPr>
          <w:rFonts w:hint="eastAsia" w:ascii="宋体" w:hAnsi="宋体" w:eastAsia="宋体" w:cs="宋体"/>
          <w:b/>
          <w:bCs/>
          <w:highlight w:val="none"/>
          <w:lang w:eastAsia="zh-CN"/>
        </w:rPr>
        <w:t>采购编号：</w:t>
      </w:r>
      <w:bookmarkEnd w:id="128"/>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1"/>
        <w:rPr>
          <w:rFonts w:hint="eastAsia" w:ascii="宋体" w:hAnsi="宋体" w:eastAsia="宋体" w:cs="宋体"/>
          <w:b/>
          <w:bCs/>
          <w:highlight w:val="none"/>
          <w:lang w:eastAsia="zh-CN"/>
        </w:rPr>
      </w:pPr>
      <w:bookmarkStart w:id="129" w:name="_Toc29547"/>
      <w:r>
        <w:rPr>
          <w:rFonts w:hint="eastAsia" w:ascii="宋体" w:hAnsi="宋体" w:eastAsia="宋体" w:cs="宋体"/>
          <w:b/>
          <w:bCs/>
          <w:highlight w:val="none"/>
          <w:lang w:eastAsia="zh-CN"/>
        </w:rPr>
        <w:t>项目名称：</w:t>
      </w:r>
      <w:bookmarkEnd w:id="129"/>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br w:type="page"/>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甲    方：广州市荔湾区发展和改革局</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电    话：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地    址：</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电子邮箱：</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乙    方：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电    话：</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地    址：</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电子邮箱：</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合同储备粮的所有权属于广州市荔湾区人民政府，未经广州市荔湾区人民政府或其授权的区本级储备粮油管理部门批准，任何单位和个人不得动用，不得以库存储备粮对外进行经济担保、抵押和清偿债务。甲方代表区人民政府采购并管理该批储备粮。</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根据</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yellow"/>
          <w:lang w:eastAsia="zh-CN"/>
        </w:rPr>
        <w:t>LW2022LS10004D</w:t>
      </w:r>
      <w:r>
        <w:rPr>
          <w:rFonts w:hint="eastAsia" w:ascii="宋体" w:hAnsi="宋体" w:eastAsia="宋体" w:cs="宋体"/>
          <w:highlight w:val="none"/>
          <w:lang w:eastAsia="zh-CN"/>
        </w:rPr>
        <w:t>）的采购结果，按照《中华人民共和国政府采购法》《中华人民共和国民法典》及广州农村产权交易所有限公司 “</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yellow"/>
          <w:lang w:eastAsia="zh-CN"/>
        </w:rPr>
        <w:t>LW2022LS10004D</w:t>
      </w:r>
      <w:r>
        <w:rPr>
          <w:rFonts w:hint="eastAsia" w:ascii="宋体" w:hAnsi="宋体" w:eastAsia="宋体" w:cs="宋体"/>
          <w:highlight w:val="none"/>
          <w:lang w:eastAsia="zh-CN"/>
        </w:rPr>
        <w:t>）协商文件的要求，经双方协商，本着平等互利和诚实信用的原则，一致同意签订本合同如下。</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0" w:name="_Toc6521"/>
      <w:r>
        <w:rPr>
          <w:rFonts w:hint="eastAsia" w:ascii="宋体" w:hAnsi="宋体" w:eastAsia="宋体" w:cs="宋体"/>
          <w:b/>
          <w:bCs/>
          <w:highlight w:val="none"/>
          <w:lang w:eastAsia="zh-CN"/>
        </w:rPr>
        <w:t>一、承储储备粮基本情况</w:t>
      </w:r>
      <w:bookmarkEnd w:id="130"/>
    </w:p>
    <w:tbl>
      <w:tblPr>
        <w:tblStyle w:val="18"/>
        <w:tblW w:w="851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2"/>
        <w:gridCol w:w="1322"/>
        <w:gridCol w:w="1336"/>
        <w:gridCol w:w="1336"/>
        <w:gridCol w:w="1336"/>
        <w:gridCol w:w="1336"/>
        <w:gridCol w:w="11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1" w:hRule="atLeast"/>
        </w:trPr>
        <w:tc>
          <w:tcPr>
            <w:tcW w:w="68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序号</w:t>
            </w:r>
          </w:p>
        </w:tc>
        <w:tc>
          <w:tcPr>
            <w:tcW w:w="13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储备粮</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品种</w:t>
            </w: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数量</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（吨）</w:t>
            </w: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承储价格</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（元/吨）</w:t>
            </w: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存放库点</w:t>
            </w: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储存方式</w:t>
            </w:r>
          </w:p>
        </w:tc>
        <w:tc>
          <w:tcPr>
            <w:tcW w:w="116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包装物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8" w:hRule="atLeast"/>
        </w:trPr>
        <w:tc>
          <w:tcPr>
            <w:tcW w:w="68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p>
        </w:tc>
        <w:tc>
          <w:tcPr>
            <w:tcW w:w="13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普通大米</w:t>
            </w: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13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116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bl>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1" w:name="_Toc4243"/>
      <w:r>
        <w:rPr>
          <w:rFonts w:hint="eastAsia" w:ascii="宋体" w:hAnsi="宋体" w:eastAsia="宋体" w:cs="宋体"/>
          <w:b/>
          <w:bCs/>
          <w:highlight w:val="none"/>
          <w:lang w:eastAsia="zh-CN"/>
        </w:rPr>
        <w:t>二、合同金额及资金来源</w:t>
      </w:r>
      <w:bookmarkEnd w:id="131"/>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合同金额为（大写）：_________________元（￥_______________元）人民币。</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本合同购粮资金由乙方根据荔湾区本级储备粮油管理办法的有关规定在当地农业发展银行申请贷款解决，或者由乙方自筹资金解决。</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2" w:name="_Toc29987"/>
      <w:r>
        <w:rPr>
          <w:rFonts w:hint="eastAsia" w:ascii="宋体" w:hAnsi="宋体" w:eastAsia="宋体" w:cs="宋体"/>
          <w:b/>
          <w:bCs/>
          <w:highlight w:val="none"/>
          <w:lang w:eastAsia="zh-CN"/>
        </w:rPr>
        <w:t>三、甲、乙方对所有权的约定</w:t>
      </w:r>
      <w:bookmarkEnd w:id="132"/>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甲、乙双方商定同意，在本合同范围内所采购的储备粮，其所有权均属于广州市荔湾区人民政府，包括但不限于乙方按规定在农业发展银行办理储备粮购粮贷款的或以自有资金进行采购的。</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3" w:name="_Toc6344"/>
      <w:r>
        <w:rPr>
          <w:rFonts w:hint="eastAsia" w:ascii="宋体" w:hAnsi="宋体" w:eastAsia="宋体" w:cs="宋体"/>
          <w:b/>
          <w:bCs/>
          <w:highlight w:val="none"/>
          <w:lang w:eastAsia="zh-CN"/>
        </w:rPr>
        <w:t>四、质量要求</w:t>
      </w:r>
      <w:bookmarkEnd w:id="133"/>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（一）乙方组织入库的普通大米质量，不得低于以下标准：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2021年产新粮，符合大米国家推荐标准（GB/T 1354-2018）“大米质量指标”中二级以上（含二级）籼米或者粳米质量指标要求（其中粳米水分含量≤14.5%）；酸度（按粮食及制品酸度测定GB5009.239－2016测定）≤0.8mL/10g；符合食品安全国家标准（GB 2715-2016）污染物限量指标要求：镉≤0.2mg/kg，铅≤0.2mg/kg。如果相关国家标准有变更，执行最新国家标准。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（二）包装：包装方式储存，包装物符合《塑料编织袋通用技术要求》国家推荐标准（GB/T 8946-2013）和广州市《储备粮塑料编织袋包装储藏技术规范》（穗储粮管〔2011〕22号）要求，包装规格符合国家推荐标准（GB/T 17109-2008）规定，包装规格为不大于50kg/袋。</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4" w:name="_Toc27919"/>
      <w:r>
        <w:rPr>
          <w:rFonts w:hint="eastAsia" w:ascii="宋体" w:hAnsi="宋体" w:eastAsia="宋体" w:cs="宋体"/>
          <w:b/>
          <w:bCs/>
          <w:highlight w:val="none"/>
          <w:lang w:eastAsia="zh-CN"/>
        </w:rPr>
        <w:t>五、交货期及交货地点</w:t>
      </w:r>
      <w:bookmarkEnd w:id="134"/>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1.交货期：普通大米入库完成时间：2022年6月30日前入库数量完成70%，2022年7月31日前完成入库。如乙方需延迟入库的，须书面提出申请并说明合理理由，经甲方书面同意后，方可推迟入库完成时间。</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2.交货地点：本合同第一条中约定的存放库点</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5" w:name="_Toc22789"/>
      <w:r>
        <w:rPr>
          <w:rFonts w:hint="eastAsia" w:ascii="宋体" w:hAnsi="宋体" w:eastAsia="宋体" w:cs="宋体"/>
          <w:b/>
          <w:bCs/>
          <w:highlight w:val="none"/>
          <w:lang w:eastAsia="zh-CN"/>
        </w:rPr>
        <w:t>六、承储期限</w:t>
      </w:r>
      <w:bookmarkEnd w:id="135"/>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本批储备粮的承储期为</w:t>
      </w:r>
      <w:r>
        <w:rPr>
          <w:rFonts w:hint="eastAsia" w:ascii="宋体" w:hAnsi="宋体" w:eastAsia="宋体" w:cs="宋体"/>
          <w:highlight w:val="none"/>
          <w:lang w:val="en-US" w:eastAsia="zh-CN"/>
        </w:rPr>
        <w:t>6</w:t>
      </w:r>
      <w:r>
        <w:rPr>
          <w:rFonts w:hint="eastAsia" w:ascii="宋体" w:hAnsi="宋体" w:eastAsia="宋体" w:cs="宋体"/>
          <w:highlight w:val="none"/>
          <w:lang w:eastAsia="zh-CN"/>
        </w:rPr>
        <w:t>年。甲方有权在第</w:t>
      </w:r>
      <w:r>
        <w:rPr>
          <w:rFonts w:hint="eastAsia" w:ascii="宋体" w:hAnsi="宋体" w:eastAsia="宋体" w:cs="宋体"/>
          <w:highlight w:val="none"/>
          <w:lang w:val="en-US" w:eastAsia="zh-CN"/>
        </w:rPr>
        <w:t>3</w:t>
      </w:r>
      <w:r>
        <w:rPr>
          <w:rFonts w:hint="eastAsia" w:ascii="宋体" w:hAnsi="宋体" w:eastAsia="宋体" w:cs="宋体"/>
          <w:highlight w:val="none"/>
          <w:lang w:eastAsia="zh-CN"/>
        </w:rPr>
        <w:t>年起视情况单方面终止合同，并提前180天以上以书面形式通知乙方，甲方无需承担由此产生的责任及赔偿。</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6" w:name="_Toc10096"/>
      <w:r>
        <w:rPr>
          <w:rFonts w:hint="eastAsia" w:ascii="宋体" w:hAnsi="宋体" w:eastAsia="宋体" w:cs="宋体"/>
          <w:b/>
          <w:bCs/>
          <w:highlight w:val="none"/>
          <w:lang w:eastAsia="zh-CN"/>
        </w:rPr>
        <w:t>七、承储管理</w:t>
      </w:r>
      <w:bookmarkEnd w:id="136"/>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（一）承储期间，甲方有权依照政府授予的职能对本合同储备粮实施监管和应急调用等。</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承储期间，严格按照《粮食流通管理条例》《广东省粮食安全保障条例》《粮油储藏技术规范》《粮油储存安全责任暂行规定》《粮库安全生产守则》《粮油安全储存守则》《粮油仓储管理办法》《广州市本级储备粮油管理办法》《荔湾区本级储备粮油管理办法》等要求进行管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（三）承储期间，乙方按照《广州市本级储备粮油管理办法》《荔湾区本级储备粮油管理办法》要求组织储备粮轮换，并通过与甲方签订年度轮换协议方式组织实施，确保储备粮常储常新。</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若本条款之（二）所述法规制度及国家、省、市其它有关法规制度、标准规范有更新或者修订，按照更新或修订后的法规制度、标准规范执行。甲方可根据国家最新标准和国家、省、市有关储备粮政策要求适当调整市本级储备粮入库指标。</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（五）确保储存区级储备粮库的保管人员需取得相关资格证书（如保管员资质证书、安全员证书等），加强对保管人员的入职以及</w:t>
      </w:r>
      <w:r>
        <w:rPr>
          <w:rFonts w:hint="eastAsia" w:ascii="宋体" w:hAnsi="宋体" w:eastAsia="宋体" w:cs="宋体"/>
          <w:highlight w:val="none"/>
          <w:lang w:val="en-US" w:eastAsia="zh-CN"/>
        </w:rPr>
        <w:t>岗位</w:t>
      </w:r>
      <w:r>
        <w:rPr>
          <w:rFonts w:hint="eastAsia" w:ascii="宋体" w:hAnsi="宋体" w:eastAsia="宋体" w:cs="宋体"/>
          <w:highlight w:val="none"/>
          <w:lang w:eastAsia="zh-CN"/>
        </w:rPr>
        <w:t>培训，</w:t>
      </w:r>
      <w:r>
        <w:rPr>
          <w:rFonts w:hint="eastAsia" w:ascii="宋体" w:hAnsi="宋体" w:eastAsia="宋体" w:cs="宋体"/>
          <w:highlight w:val="none"/>
          <w:lang w:val="en-US" w:eastAsia="zh-CN"/>
        </w:rPr>
        <w:t>入职的培训、</w:t>
      </w:r>
      <w:r>
        <w:rPr>
          <w:rFonts w:hint="eastAsia" w:ascii="宋体" w:hAnsi="宋体" w:eastAsia="宋体" w:cs="宋体"/>
          <w:highlight w:val="none"/>
          <w:lang w:eastAsia="zh-CN"/>
        </w:rPr>
        <w:t>每年</w:t>
      </w:r>
      <w:r>
        <w:rPr>
          <w:rFonts w:hint="eastAsia" w:ascii="宋体" w:hAnsi="宋体" w:eastAsia="宋体" w:cs="宋体"/>
          <w:highlight w:val="none"/>
          <w:lang w:val="en-US" w:eastAsia="zh-CN"/>
        </w:rPr>
        <w:t>岗位</w:t>
      </w:r>
      <w:r>
        <w:rPr>
          <w:rFonts w:hint="eastAsia" w:ascii="宋体" w:hAnsi="宋体" w:eastAsia="宋体" w:cs="宋体"/>
          <w:highlight w:val="none"/>
          <w:lang w:eastAsia="zh-CN"/>
        </w:rPr>
        <w:t>培训不少于二次；加强对相关承储人员的管理，强调社会公德，杜绝出现黄、赌、毒等不法行为；加强储备粮储存粮库地磅等测量仪器的管理以及强化落实对储存粮库的环境卫生管理，确保粮库干净整洁。</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37" w:name="_Toc24375"/>
      <w:r>
        <w:rPr>
          <w:rFonts w:hint="eastAsia" w:ascii="宋体" w:hAnsi="宋体" w:eastAsia="宋体" w:cs="宋体"/>
          <w:b/>
          <w:bCs/>
          <w:highlight w:val="none"/>
          <w:lang w:eastAsia="zh-CN"/>
        </w:rPr>
        <w:t>八、双方责任</w:t>
      </w:r>
      <w:bookmarkEnd w:id="137"/>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outlineLvl w:val="2"/>
        <w:rPr>
          <w:rFonts w:hint="eastAsia" w:ascii="宋体" w:hAnsi="宋体" w:eastAsia="宋体" w:cs="宋体"/>
          <w:highlight w:val="none"/>
          <w:lang w:eastAsia="zh-CN"/>
        </w:rPr>
      </w:pPr>
      <w:bookmarkStart w:id="138" w:name="_Toc254"/>
      <w:r>
        <w:rPr>
          <w:rFonts w:hint="eastAsia" w:ascii="宋体" w:hAnsi="宋体" w:eastAsia="宋体" w:cs="宋体"/>
          <w:highlight w:val="none"/>
          <w:lang w:eastAsia="zh-CN"/>
        </w:rPr>
        <w:t>（一）甲方责任</w:t>
      </w:r>
      <w:bookmarkEnd w:id="138"/>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1.检查、监督储备粮年度轮换计划执行情况和储存安全。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2.负责委托具有粮食质量检验资格的第三方机构，对入库粮食进行质量鉴定（检验费用在储备费用中解决，乙方负责支付），协调解决双方在质检过程中出现的问题。</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3.协调农业发展银行办理入库粮食的贷款资金，并会同农业发展银行对乙方入库粮食数量进行核准。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4.按照荔湾区本级储备粮油管理办法及财政支出有关规定，拨付政策性储备费用。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5.协调有关部门处理乙方承储过程中出现的其它问题。</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outlineLvl w:val="2"/>
        <w:rPr>
          <w:rFonts w:hint="eastAsia" w:ascii="宋体" w:hAnsi="宋体" w:eastAsia="宋体" w:cs="宋体"/>
          <w:highlight w:val="none"/>
          <w:lang w:eastAsia="zh-CN"/>
        </w:rPr>
      </w:pPr>
      <w:bookmarkStart w:id="139" w:name="_Toc27079"/>
      <w:r>
        <w:rPr>
          <w:rFonts w:hint="eastAsia" w:ascii="宋体" w:hAnsi="宋体" w:eastAsia="宋体" w:cs="宋体"/>
          <w:highlight w:val="none"/>
          <w:lang w:eastAsia="zh-CN"/>
        </w:rPr>
        <w:t>（二）乙方责任</w:t>
      </w:r>
      <w:bookmarkEnd w:id="139"/>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1.在农业发展银行办理本合同储备粮贷款（或自有资金），负责按时按质按量购买粮食作为储备粮。</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严格按照协商文件规定的品种、数量、质量，在规定期限内采购粮食入库。积极配合质检机构做好入库粮食的质量检验工作，并承担相关检验费用。经检验，凡达不到质量标准要求的粮食不能作为储备粮，其经济损失由乙方自行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3.将承储的粮食按本合同第一条中约定的存放库点、储存方式存储，存放的粮仓必须悬挂“荔湾区本级储备粮油”标志牌，未经甲方书面同意不得擅自更改存放库（仓）点、堆点和储存方式。</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承储期间，对本单位安全储粮工作负主体责任，加强对库存储备粮油的管理和粮情监控，做到专仓（堆）存放、专人保管、专账记录，定期检测粮油品质，发现问题及时处理，确保所承储的储备粮数量真实、质量完好、储存安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5.按照甲方下达、审批的储备粮轮换计划组织储备粮轮换。</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6.承储期间出现的有关问题，应在出现问题的2个工作日内向甲方反映，并随时接受甲方的检查、监督。</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7.乙方保证其具有承接本合同项目的法定资质，因缺乏相应资质而给甲方造成损失的，须承担相关责任。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8.除本合同外，还应当履行《广州市本级储备粮油管理办法》《荔湾区本级储备粮油管理办法》中规定的相关义务。</w:t>
      </w:r>
    </w:p>
    <w:p>
      <w:pPr>
        <w:pStyle w:val="2"/>
        <w:jc w:val="both"/>
        <w:rPr>
          <w:rFonts w:hint="eastAsia" w:ascii="宋体" w:hAnsi="宋体" w:eastAsia="宋体" w:cs="宋体"/>
          <w:highlight w:val="yellow"/>
          <w:lang w:eastAsia="zh-CN"/>
        </w:rPr>
      </w:pPr>
      <w:r>
        <w:rPr>
          <w:rFonts w:hint="eastAsia" w:ascii="宋体" w:hAnsi="宋体" w:eastAsia="宋体" w:cs="宋体"/>
          <w:highlight w:val="yellow"/>
          <w:lang w:val="en-US" w:eastAsia="zh-CN"/>
        </w:rPr>
        <w:t>9.本合同范围内的乙方存放库点所属土地、房屋被政府部门征收的，乙方应当自征收公告之日起30日内书面通知甲方共同协商变更本合同库点，乙方应另行安排符合存放条件及规格的仓库作为承储库点，新安排的仓库必须在广州市行政区域内，并应经甲方书面同意后方可实施储备粮转移工作，储备粮转移产生的费用由乙方负责。</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40" w:name="_Toc2244"/>
      <w:r>
        <w:rPr>
          <w:rFonts w:hint="eastAsia" w:ascii="宋体" w:hAnsi="宋体" w:eastAsia="宋体" w:cs="宋体"/>
          <w:b/>
          <w:bCs/>
          <w:highlight w:val="none"/>
          <w:lang w:eastAsia="zh-CN"/>
        </w:rPr>
        <w:t>九、违约责任与赔偿损失</w:t>
      </w:r>
      <w:bookmarkEnd w:id="140"/>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（一）甲、乙双方未能按照合同规定履行各自的义务和责任，须承担各自所引起的经济损失和法律责任。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（二）乙方在承储期间单方面停止履行本合同的，甲方有权处置承储储备粮，由此引起的经济损失和法律责任全部由乙方承担。</w:t>
      </w:r>
    </w:p>
    <w:p>
      <w:pPr>
        <w:pStyle w:val="2"/>
        <w:jc w:val="both"/>
        <w:rPr>
          <w:rFonts w:hint="eastAsia" w:ascii="宋体" w:hAnsi="宋体" w:eastAsia="宋体" w:cs="宋体"/>
          <w:highlight w:val="yellow"/>
          <w:lang w:eastAsia="zh-CN"/>
        </w:rPr>
      </w:pPr>
      <w:r>
        <w:rPr>
          <w:rFonts w:hint="eastAsia" w:ascii="宋体" w:hAnsi="宋体" w:eastAsia="宋体" w:cs="宋体"/>
          <w:highlight w:val="yellow"/>
          <w:lang w:eastAsia="zh-CN"/>
        </w:rPr>
        <w:t>（三）乙方未能按照本合同第五条约定的交货期完成粮食入库的，每逾期一日，按合同金额的千分之一向甲方支付违约金；逾期超过15天的，甲方有权单方解除本合同，乙方应向甲方一次性按合同金额的20%支付违约金，不足以弥补甲方实际损失的，乙方对甲方实际损失仍负赔偿责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（四）乙方若有下列行为之一，甲方有权扣除相应储备粮费用补贴。情节严重的，甲方有权解除本合同，并追究相关责任，由此造成的经济损失全部由乙方承担：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1.未按规定保证储备粮常年实际库存数量。</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2.未经批准擅自轮换，或者未按审批的轮换计划组织储备粮轮换，或者未轮报轮、转圈轮换等违规轮换。</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3.未配合甲方做好入库粮油的质量检验工作，入库粮油质量达不到质量标准。</w:t>
      </w:r>
      <w:r>
        <w:rPr>
          <w:rFonts w:hint="eastAsia" w:ascii="宋体" w:hAnsi="宋体" w:eastAsia="宋体" w:cs="宋体"/>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4.未经批准擅自改变储存库（仓）点、堆点。</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5.未及时做好粮情检查或采取有效措施，出现坏粮事故。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6.不按时上报轮换报表，或虚报瞒报轮换数量，套取轮换补贴。</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7.承储期间，出现重大问题不及时向甲方报告的。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8.其它违反《广州市本级储备粮油管理办法》《荔湾区本级储备粮油管理办法》或本合同的其他行为。</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41" w:name="_Toc5299"/>
      <w:r>
        <w:rPr>
          <w:rFonts w:hint="eastAsia" w:ascii="宋体" w:hAnsi="宋体" w:eastAsia="宋体" w:cs="宋体"/>
          <w:b/>
          <w:bCs/>
          <w:highlight w:val="none"/>
          <w:lang w:eastAsia="zh-CN"/>
        </w:rPr>
        <w:t>十、争议的解决</w:t>
      </w:r>
      <w:bookmarkEnd w:id="141"/>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（一）因本批粮食的质量问题发生争议，按《粮食质量安全监管办法》规定的检验争议处理原则处理。本批粮食符合质量标准的，鉴定费由甲方承担；本批粮食不符合质量标准的，鉴定费由乙方承担。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（二）合同执行过程中发生的任何争议，如双方不能通过友好协商解决，可向甲方所在地人民法院提起诉讼。</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42" w:name="_Toc5985"/>
      <w:r>
        <w:rPr>
          <w:rFonts w:hint="eastAsia" w:ascii="宋体" w:hAnsi="宋体" w:eastAsia="宋体" w:cs="宋体"/>
          <w:b/>
          <w:bCs/>
          <w:highlight w:val="none"/>
          <w:lang w:eastAsia="zh-CN"/>
        </w:rPr>
        <w:t>十一、不可抗力</w:t>
      </w:r>
      <w:bookmarkEnd w:id="142"/>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如遇国家、省或市涉及粮食储备政策发生重大调整，或者广州市储备粮规模数量发生变动，甲方有权终止或变更合同，变更合同的，甲、乙双方需重新签订合同。</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43" w:name="_Toc14418"/>
      <w:r>
        <w:rPr>
          <w:rFonts w:hint="eastAsia" w:ascii="宋体" w:hAnsi="宋体" w:eastAsia="宋体" w:cs="宋体"/>
          <w:b/>
          <w:bCs/>
          <w:highlight w:val="none"/>
          <w:lang w:eastAsia="zh-CN"/>
        </w:rPr>
        <w:t>十二、税费</w:t>
      </w:r>
      <w:bookmarkEnd w:id="143"/>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在中国境内、外发生的与本合同执行有关的一切税费均由乙方负担。</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44" w:name="_Toc17729"/>
      <w:r>
        <w:rPr>
          <w:rFonts w:hint="eastAsia" w:ascii="宋体" w:hAnsi="宋体" w:eastAsia="宋体" w:cs="宋体"/>
          <w:b/>
          <w:bCs/>
          <w:highlight w:val="none"/>
          <w:lang w:eastAsia="zh-CN"/>
        </w:rPr>
        <w:t>十三、其它</w:t>
      </w:r>
      <w:bookmarkEnd w:id="144"/>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（一）本合同所有附件、协商文件、响应文件、成交通知书均为合同的有效组成部分，与本合同具有同等法律效力。</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（二）在执行本合同的过程中，所有经双方签署确认的文件（包括会议纪要、书面协议、往来信函等）即成为本合同的有效组成部分。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（三）如一方法人代表、地址、电话等重要信息有变更，应在变更10日内书面通知对方。否则，应承担相应责任。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（四）除甲方事先书面同意外，乙方不得部分或全部转让其应履行的合同项下的义务。</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eastAsia="zh-CN"/>
        </w:rPr>
      </w:pPr>
      <w:bookmarkStart w:id="145" w:name="_Toc20262"/>
      <w:r>
        <w:rPr>
          <w:rFonts w:hint="eastAsia" w:ascii="宋体" w:hAnsi="宋体" w:eastAsia="宋体" w:cs="宋体"/>
          <w:b/>
          <w:bCs/>
          <w:highlight w:val="none"/>
          <w:lang w:eastAsia="zh-CN"/>
        </w:rPr>
        <w:t>十四、合同生效：</w:t>
      </w:r>
      <w:bookmarkEnd w:id="145"/>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（一）本合同在甲、乙双方法人代表或其授权代表签字盖章后生效。</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（二）合同一式6份，具有同等效力，甲方2份，乙方1份，市发展和改革委员会1份，区财政部门1份，中国农业发展银行省分行营业部1份。</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甲方（盖章）：广州市荔湾区发展和改革局     乙方（盖章）：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代表：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 xml:space="preserve">代表：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签订地点：</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签订地点：</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highlight w:val="none"/>
          <w:lang w:eastAsia="zh-CN"/>
        </w:rPr>
        <w:t>签订日期：    年   月  日</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签订日期：     年   月  日</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center"/>
        <w:textAlignment w:val="auto"/>
        <w:outlineLvl w:val="0"/>
        <w:rPr>
          <w:rFonts w:hint="eastAsia" w:ascii="宋体" w:hAnsi="宋体" w:eastAsia="宋体" w:cs="宋体"/>
          <w:b/>
          <w:bCs/>
          <w:sz w:val="32"/>
          <w:szCs w:val="32"/>
          <w:highlight w:val="none"/>
          <w:lang w:eastAsia="zh-CN"/>
        </w:rPr>
      </w:pPr>
      <w:bookmarkStart w:id="146" w:name="_Toc281"/>
      <w:bookmarkStart w:id="147" w:name="_Toc51770936"/>
      <w:bookmarkStart w:id="148" w:name="_Toc256000006"/>
      <w:bookmarkStart w:id="149" w:name="_Toc81320131"/>
      <w:bookmarkStart w:id="150" w:name="_Toc256000028"/>
      <w:bookmarkStart w:id="151" w:name="_Toc53561727"/>
      <w:bookmarkStart w:id="152" w:name="_Toc24464"/>
      <w:bookmarkStart w:id="153" w:name="_Toc14436"/>
      <w:bookmarkStart w:id="154" w:name="_Toc256000016"/>
      <w:r>
        <w:rPr>
          <w:rFonts w:hint="eastAsia" w:ascii="宋体" w:hAnsi="宋体" w:eastAsia="宋体" w:cs="宋体"/>
          <w:b/>
          <w:bCs/>
          <w:sz w:val="32"/>
          <w:szCs w:val="32"/>
          <w:highlight w:val="none"/>
          <w:lang w:eastAsia="zh-CN"/>
        </w:rPr>
        <w:t>开标、评审和</w:t>
      </w:r>
      <w:bookmarkEnd w:id="146"/>
      <w:bookmarkEnd w:id="147"/>
      <w:bookmarkEnd w:id="148"/>
      <w:bookmarkEnd w:id="149"/>
      <w:bookmarkEnd w:id="150"/>
      <w:bookmarkEnd w:id="151"/>
      <w:bookmarkEnd w:id="152"/>
      <w:bookmarkEnd w:id="153"/>
      <w:bookmarkEnd w:id="154"/>
      <w:r>
        <w:rPr>
          <w:rFonts w:hint="eastAsia" w:ascii="宋体" w:hAnsi="宋体" w:eastAsia="宋体" w:cs="宋体"/>
          <w:b/>
          <w:bCs/>
          <w:sz w:val="32"/>
          <w:szCs w:val="32"/>
          <w:highlight w:val="none"/>
          <w:lang w:eastAsia="zh-CN"/>
        </w:rPr>
        <w:t>定标</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both"/>
        <w:textAlignment w:val="auto"/>
        <w:rPr>
          <w:rFonts w:hint="eastAsia" w:ascii="宋体" w:hAnsi="宋体" w:eastAsia="宋体" w:cs="宋体"/>
          <w:b/>
          <w:bCs/>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155" w:name="_Toc10414"/>
      <w:bookmarkStart w:id="156" w:name="_Toc9079"/>
      <w:bookmarkStart w:id="157" w:name="_Toc19729"/>
      <w:bookmarkStart w:id="158" w:name="_Toc394910559"/>
      <w:bookmarkStart w:id="159" w:name="_Toc50276153"/>
      <w:bookmarkStart w:id="160" w:name="_Toc42394513"/>
      <w:bookmarkStart w:id="161" w:name="_Toc98579606"/>
      <w:bookmarkStart w:id="162" w:name="_Toc42394669"/>
      <w:bookmarkStart w:id="163" w:name="_Toc98579007"/>
      <w:bookmarkStart w:id="164" w:name="_Toc98579065"/>
      <w:bookmarkStart w:id="165" w:name="_Toc98580289"/>
      <w:bookmarkStart w:id="166" w:name="_Toc41723931"/>
      <w:bookmarkStart w:id="167" w:name="_Toc42313167"/>
      <w:bookmarkStart w:id="168" w:name="_Toc41884701"/>
      <w:r>
        <w:rPr>
          <w:rFonts w:hint="eastAsia" w:ascii="宋体" w:hAnsi="宋体" w:eastAsia="宋体" w:cs="宋体"/>
          <w:b/>
          <w:bCs/>
          <w:highlight w:val="none"/>
        </w:rPr>
        <w:t>一、 协商小组</w:t>
      </w:r>
      <w:bookmarkEnd w:id="155"/>
      <w:bookmarkEnd w:id="156"/>
      <w:bookmarkEnd w:id="157"/>
      <w:bookmarkEnd w:id="158"/>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协商小组由采购人代表和有关专家共三人以上单数组成，其中专家在政府采购专家库中随机抽取，</w:t>
      </w:r>
      <w:r>
        <w:rPr>
          <w:rFonts w:hint="eastAsia" w:ascii="宋体" w:hAnsi="宋体" w:eastAsia="宋体" w:cs="宋体"/>
          <w:highlight w:val="none"/>
        </w:rPr>
        <w:t>如采购人不派代表参加评审，则</w:t>
      </w:r>
      <w:r>
        <w:rPr>
          <w:rFonts w:hint="eastAsia" w:ascii="宋体" w:hAnsi="宋体" w:eastAsia="宋体" w:cs="宋体"/>
          <w:highlight w:val="none"/>
          <w:lang w:val="en-GB"/>
        </w:rPr>
        <w:t>协商小组</w:t>
      </w:r>
      <w:r>
        <w:rPr>
          <w:rFonts w:hint="eastAsia" w:ascii="宋体" w:hAnsi="宋体" w:eastAsia="宋体" w:cs="宋体"/>
          <w:highlight w:val="none"/>
        </w:rPr>
        <w:t>全部由从政府采购专家库随机抽取的专家组成</w:t>
      </w:r>
      <w:r>
        <w:rPr>
          <w:rFonts w:hint="eastAsia" w:ascii="宋体" w:hAnsi="宋体" w:eastAsia="宋体" w:cs="宋体"/>
          <w:highlight w:val="none"/>
          <w:lang w:val="zh-CN"/>
        </w:rPr>
        <w:t>。如采购人要求自行组织协商小组的，协商小组由采购人组织三人以上单数的具有相关经验的专业人员组成。</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val="zh-CN"/>
        </w:rPr>
        <w:t>协商小组本着公平、公正、科学、择优的原则，严格按照法律法规和协商文件的要求与供应商商定合理的成交价格并保证采购项目质量。</w:t>
      </w:r>
      <w:r>
        <w:rPr>
          <w:rFonts w:hint="eastAsia" w:ascii="宋体" w:hAnsi="宋体" w:eastAsia="宋体" w:cs="宋体"/>
          <w:highlight w:val="none"/>
        </w:rPr>
        <w:t>协商小组在协商及评审过程中出现意见不一致时，应遵循少数服从多数原则。</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GB"/>
        </w:rPr>
      </w:pPr>
      <w:bookmarkStart w:id="169" w:name="_Toc199735924"/>
      <w:r>
        <w:rPr>
          <w:rFonts w:hint="eastAsia" w:ascii="宋体" w:hAnsi="宋体" w:eastAsia="宋体" w:cs="宋体"/>
          <w:highlight w:val="none"/>
          <w:lang w:val="en-GB"/>
        </w:rPr>
        <w:t>除</w:t>
      </w:r>
      <w:r>
        <w:rPr>
          <w:rFonts w:hint="eastAsia" w:ascii="宋体" w:hAnsi="宋体" w:eastAsia="宋体" w:cs="宋体"/>
          <w:highlight w:val="none"/>
          <w:lang w:val="zh-CN"/>
        </w:rPr>
        <w:t>采购人自行组织协商小组外，</w:t>
      </w:r>
      <w:r>
        <w:rPr>
          <w:rFonts w:hint="eastAsia" w:ascii="宋体" w:hAnsi="宋体" w:eastAsia="宋体" w:cs="宋体"/>
          <w:highlight w:val="none"/>
          <w:lang w:val="en-GB"/>
        </w:rPr>
        <w:t>协商小组成员有下列情形之一的，受到邀请应主动提出回避，采购当事人也可以要求该成员回避：</w:t>
      </w:r>
      <w:bookmarkEnd w:id="169"/>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（一）三年内曾在参加该采购项目的供应商中任职或担任顾问的；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（二）配偶或直系亲属在参加该采购项目的供应商中任职或担任顾问的；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（三）与参加该采购项目供应商发生过法律纠纷的；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（四）协商小组中，同一任职单位</w:t>
      </w:r>
      <w:r>
        <w:rPr>
          <w:rFonts w:hint="eastAsia" w:ascii="宋体" w:hAnsi="宋体" w:eastAsia="宋体" w:cs="宋体"/>
          <w:highlight w:val="none"/>
          <w:lang w:val="en-GB"/>
        </w:rPr>
        <w:t>在协商小组成员中</w:t>
      </w:r>
      <w:r>
        <w:rPr>
          <w:rFonts w:hint="eastAsia" w:ascii="宋体" w:hAnsi="宋体" w:eastAsia="宋体" w:cs="宋体"/>
          <w:highlight w:val="none"/>
        </w:rPr>
        <w:t>超过一名的；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（五）任职单位与采购人或参加该采购项目的供应商存在行政隶属关系的</w:t>
      </w:r>
      <w:r>
        <w:rPr>
          <w:rFonts w:hint="eastAsia" w:ascii="宋体" w:hAnsi="宋体" w:eastAsia="宋体" w:cs="宋体"/>
          <w:highlight w:val="none"/>
          <w:lang w:val="en-GB"/>
        </w:rPr>
        <w:t>（不含采购人代表）</w:t>
      </w:r>
      <w:r>
        <w:rPr>
          <w:rFonts w:hint="eastAsia" w:ascii="宋体" w:hAnsi="宋体" w:eastAsia="宋体" w:cs="宋体"/>
          <w:highlight w:val="none"/>
        </w:rPr>
        <w:t>；</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（六）参与进口产品或采购文件、采购需求、采购方式的论证和咨询服务工作的；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（七）是参加该采购项目供应商的上级主管部门、控股或参股单位的工作人员，或与该供应商存在其他经济利益关系的；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（八）法律、法规、规章规定应当回避以及其他可能影响公正评审的。</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val="zh-CN"/>
        </w:rPr>
      </w:pPr>
      <w:bookmarkStart w:id="170" w:name="_Toc25294"/>
      <w:bookmarkStart w:id="171" w:name="_Toc19952"/>
      <w:bookmarkStart w:id="172" w:name="_Toc14851"/>
      <w:bookmarkStart w:id="173" w:name="_Toc351989409"/>
      <w:bookmarkStart w:id="174" w:name="_Toc401231876"/>
      <w:bookmarkStart w:id="175" w:name="_Toc401231934"/>
      <w:r>
        <w:rPr>
          <w:rFonts w:hint="eastAsia" w:ascii="宋体" w:hAnsi="宋体" w:eastAsia="宋体" w:cs="宋体"/>
          <w:b/>
          <w:bCs/>
          <w:highlight w:val="none"/>
          <w:lang w:val="zh-CN"/>
        </w:rPr>
        <w:t>二、 评审方法</w:t>
      </w:r>
      <w:bookmarkEnd w:id="170"/>
      <w:bookmarkEnd w:id="171"/>
      <w:bookmarkEnd w:id="172"/>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2"/>
        <w:rPr>
          <w:rFonts w:hint="eastAsia" w:ascii="宋体" w:hAnsi="宋体" w:eastAsia="宋体" w:cs="宋体"/>
          <w:b/>
          <w:bCs/>
          <w:highlight w:val="none"/>
          <w:lang w:val="zh-CN"/>
        </w:rPr>
      </w:pPr>
      <w:bookmarkStart w:id="176" w:name="_Toc19081"/>
      <w:r>
        <w:rPr>
          <w:rFonts w:hint="eastAsia" w:ascii="宋体" w:hAnsi="宋体" w:eastAsia="宋体" w:cs="宋体"/>
          <w:b/>
          <w:bCs/>
          <w:highlight w:val="none"/>
          <w:lang w:val="zh-CN"/>
        </w:rPr>
        <w:t>（一）推荐成交供应商方法</w:t>
      </w:r>
      <w:bookmarkEnd w:id="173"/>
      <w:bookmarkEnd w:id="174"/>
      <w:bookmarkEnd w:id="175"/>
      <w:bookmarkEnd w:id="176"/>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val="zh-CN"/>
        </w:rPr>
        <w:t>采用一轮协商，两次报价形式进行。</w:t>
      </w:r>
      <w:r>
        <w:rPr>
          <w:rFonts w:hint="eastAsia" w:ascii="宋体" w:hAnsi="宋体" w:eastAsia="宋体" w:cs="宋体"/>
          <w:highlight w:val="none"/>
        </w:rPr>
        <w:t>协商小组按照符合采购需求、价格合理的原则推荐成交供应商。</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2"/>
        <w:rPr>
          <w:rFonts w:hint="eastAsia" w:ascii="宋体" w:hAnsi="宋体" w:eastAsia="宋体" w:cs="宋体"/>
          <w:b/>
          <w:bCs/>
          <w:highlight w:val="none"/>
          <w:lang w:val="zh-CN"/>
        </w:rPr>
      </w:pPr>
      <w:bookmarkStart w:id="177" w:name="_Toc27561"/>
      <w:r>
        <w:rPr>
          <w:rFonts w:hint="eastAsia" w:ascii="宋体" w:hAnsi="宋体" w:eastAsia="宋体" w:cs="宋体"/>
          <w:b/>
          <w:bCs/>
          <w:highlight w:val="none"/>
          <w:lang w:val="zh-CN"/>
        </w:rPr>
        <w:t>（二）响应文件差异修正准则</w:t>
      </w:r>
      <w:bookmarkEnd w:id="177"/>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响应文件出现差异时，修正原则及优先修正顺序如下：</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1.开标内容与响应文件对应内容不一致的，均以开标内容为准；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2.开标一览表与分项明细表或其它相关报价表报价不一致的，均以开标一览表为准；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3.分项报价表中的单价与对应的合计价不相符的，以单价为准，修正对应的该项合计价；</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4.大写金额和小写金额不一致的，以大写金额为准；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5.单价金额小数点有明显错位的，应以总价为准，并修改单价；</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6.响应文件描述内容与原始材料引述内容不一致的，以原始材料内容为准；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7.对不同文字文本响应文件的解释发生异议的，以中文文本为准；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8.对出现以上情况或因明显笔误而需修正任何内容时，均以协商小组审定通过方为有效；</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zh-CN"/>
        </w:rPr>
      </w:pPr>
      <w:r>
        <w:rPr>
          <w:rFonts w:hint="eastAsia" w:ascii="宋体" w:hAnsi="宋体" w:eastAsia="宋体" w:cs="宋体"/>
          <w:highlight w:val="none"/>
          <w:lang w:val="zh-CN"/>
        </w:rPr>
        <w:t>9.对采购项目的关键、主要内容，最后报价漏项的，作非实质性响应处理。</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lang w:val="en"/>
        </w:rPr>
      </w:pPr>
      <w:bookmarkStart w:id="178" w:name="_Toc25251"/>
      <w:bookmarkStart w:id="179" w:name="_Toc27647"/>
      <w:bookmarkStart w:id="180" w:name="_Toc28311"/>
      <w:r>
        <w:rPr>
          <w:rFonts w:hint="eastAsia" w:ascii="宋体" w:hAnsi="宋体" w:eastAsia="宋体" w:cs="宋体"/>
          <w:b/>
          <w:bCs/>
          <w:highlight w:val="none"/>
          <w:lang w:val="en"/>
        </w:rPr>
        <w:t>三、协商和评审程序</w:t>
      </w:r>
      <w:bookmarkEnd w:id="178"/>
      <w:bookmarkEnd w:id="179"/>
      <w:bookmarkEnd w:id="180"/>
      <w:r>
        <w:rPr>
          <w:rFonts w:hint="eastAsia" w:ascii="宋体" w:hAnsi="宋体" w:eastAsia="宋体" w:cs="宋体"/>
          <w:b/>
          <w:bCs/>
          <w:highlight w:val="none"/>
          <w:lang w:val="en"/>
        </w:rPr>
        <w:t xml:space="preserve">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（一）公开首次报价。由</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lang w:val="en"/>
        </w:rPr>
        <w:t>在电子开标系统自动提取响应文件并记录首次报价。</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1.按规定时间，由</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lang w:val="en"/>
        </w:rPr>
        <w:t>启动开标程序，解密时间截止后，电子开标系统自动提取并记录所有响应文件，获取响应文件提交及解密情况。</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（二）供应商须由法定代表人（凭</w:t>
      </w:r>
      <w:r>
        <w:rPr>
          <w:rFonts w:hint="eastAsia" w:ascii="宋体" w:hAnsi="宋体" w:eastAsia="宋体" w:cs="宋体"/>
          <w:b/>
          <w:bCs/>
          <w:highlight w:val="none"/>
          <w:lang w:val="en"/>
        </w:rPr>
        <w:t>加盖公章</w:t>
      </w:r>
      <w:r>
        <w:rPr>
          <w:rFonts w:hint="eastAsia" w:ascii="宋体" w:hAnsi="宋体" w:eastAsia="宋体" w:cs="宋体"/>
          <w:highlight w:val="none"/>
          <w:lang w:val="en"/>
        </w:rPr>
        <w:t>的法定代表人证明书和法定代表人身份证原件）或自然人（供应商为自然人时，提交自然人身份证原件）或其委托代理人（凭授权委托证明书和委托代理人身份证原件）现场参加协商。如</w:t>
      </w:r>
      <w:r>
        <w:rPr>
          <w:rFonts w:hint="eastAsia" w:ascii="宋体" w:hAnsi="宋体" w:eastAsia="宋体" w:cs="宋体"/>
          <w:b/>
          <w:bCs/>
          <w:highlight w:val="none"/>
          <w:lang w:val="en"/>
        </w:rPr>
        <w:t>供应商</w:t>
      </w:r>
      <w:r>
        <w:rPr>
          <w:rFonts w:hint="eastAsia" w:ascii="宋体" w:hAnsi="宋体" w:eastAsia="宋体" w:cs="宋体"/>
          <w:highlight w:val="none"/>
          <w:lang w:val="en"/>
        </w:rPr>
        <w:t>未在协商小组规定的时间内到达协商地点进行协商，协商小组有权视为供应商退出协商。供应商</w:t>
      </w:r>
      <w:r>
        <w:rPr>
          <w:rFonts w:hint="eastAsia" w:ascii="宋体" w:hAnsi="宋体" w:eastAsia="宋体" w:cs="宋体"/>
          <w:b/>
          <w:bCs/>
          <w:highlight w:val="none"/>
          <w:lang w:val="en"/>
        </w:rPr>
        <w:t>应在响应文件解密时间截止后1小时内到达协商地点等候参加协</w:t>
      </w:r>
      <w:r>
        <w:rPr>
          <w:rFonts w:hint="eastAsia" w:ascii="宋体" w:hAnsi="宋体" w:eastAsia="宋体" w:cs="宋体"/>
          <w:b/>
          <w:bCs/>
          <w:highlight w:val="none"/>
          <w:lang w:val="en" w:eastAsia="zh-CN"/>
        </w:rPr>
        <w:t>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（三）协商小组按照保证项目质量和物有所值、价格合理的原则与供应商进行协商，并形成《协商情况记录》。协商小组对协商文件作实质性变动的，须经采购人代表确认，并记载在《协商情况记录》中。</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（四）</w:t>
      </w:r>
      <w:r>
        <w:rPr>
          <w:rFonts w:hint="eastAsia" w:ascii="宋体" w:hAnsi="宋体" w:eastAsia="宋体" w:cs="宋体"/>
          <w:highlight w:val="none"/>
          <w:lang w:val="en" w:eastAsia="zh-CN"/>
        </w:rPr>
        <w:t>供应商登录电子开标系统提交最后</w:t>
      </w:r>
      <w:r>
        <w:rPr>
          <w:rFonts w:hint="eastAsia" w:ascii="宋体" w:hAnsi="宋体" w:eastAsia="宋体" w:cs="宋体"/>
          <w:highlight w:val="none"/>
          <w:lang w:val="en-US" w:eastAsia="zh-CN"/>
        </w:rPr>
        <w:t>单价</w:t>
      </w:r>
      <w:r>
        <w:rPr>
          <w:rFonts w:hint="eastAsia" w:ascii="宋体" w:hAnsi="宋体" w:eastAsia="宋体" w:cs="宋体"/>
          <w:highlight w:val="none"/>
          <w:lang w:val="en" w:eastAsia="zh-CN"/>
        </w:rPr>
        <w:t>报价（报价单位</w:t>
      </w:r>
      <w:r>
        <w:rPr>
          <w:rFonts w:hint="eastAsia" w:ascii="宋体" w:hAnsi="宋体" w:eastAsia="宋体" w:cs="宋体"/>
          <w:highlight w:val="none"/>
          <w:lang w:val="en-US" w:eastAsia="zh-CN"/>
        </w:rPr>
        <w:t>为：</w:t>
      </w:r>
      <w:r>
        <w:rPr>
          <w:rFonts w:hint="eastAsia" w:ascii="宋体" w:hAnsi="宋体" w:eastAsia="宋体" w:cs="宋体"/>
          <w:highlight w:val="none"/>
          <w:lang w:val="en" w:eastAsia="zh-CN"/>
        </w:rPr>
        <w:t>元</w:t>
      </w:r>
      <w:r>
        <w:rPr>
          <w:rFonts w:hint="eastAsia" w:ascii="宋体" w:hAnsi="宋体" w:eastAsia="宋体" w:cs="宋体"/>
          <w:highlight w:val="none"/>
          <w:lang w:val="en-US" w:eastAsia="zh-CN"/>
        </w:rPr>
        <w:t>/吨</w:t>
      </w:r>
      <w:r>
        <w:rPr>
          <w:rFonts w:hint="eastAsia" w:ascii="宋体" w:hAnsi="宋体" w:eastAsia="宋体" w:cs="宋体"/>
          <w:highlight w:val="none"/>
          <w:lang w:val="en" w:eastAsia="zh-CN"/>
        </w:rPr>
        <w:t>），</w:t>
      </w:r>
      <w:r>
        <w:rPr>
          <w:rFonts w:hint="eastAsia" w:ascii="宋体" w:hAnsi="宋体" w:eastAsia="宋体" w:cs="宋体"/>
          <w:highlight w:val="none"/>
          <w:lang w:val="en"/>
        </w:rPr>
        <w:t>供应商须携带机构证书（含电子签章）到</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lang w:val="en"/>
        </w:rPr>
        <w:t>现场完成</w:t>
      </w:r>
      <w:r>
        <w:rPr>
          <w:rFonts w:hint="eastAsia" w:ascii="宋体" w:hAnsi="宋体" w:eastAsia="宋体" w:cs="宋体"/>
          <w:highlight w:val="none"/>
          <w:lang w:val="en" w:eastAsia="zh-CN"/>
        </w:rPr>
        <w:t>。</w:t>
      </w:r>
      <w:r>
        <w:rPr>
          <w:rFonts w:hint="eastAsia" w:ascii="宋体" w:hAnsi="宋体" w:eastAsia="宋体" w:cs="宋体"/>
          <w:highlight w:val="none"/>
          <w:lang w:val="en"/>
        </w:rPr>
        <w:t>协商结束后，</w:t>
      </w:r>
      <w:r>
        <w:rPr>
          <w:rFonts w:hint="eastAsia" w:ascii="宋体" w:hAnsi="宋体" w:eastAsia="宋体" w:cs="宋体"/>
          <w:highlight w:val="none"/>
          <w:lang w:val="en" w:eastAsia="zh-CN"/>
        </w:rPr>
        <w:t>协商小组将</w:t>
      </w:r>
      <w:r>
        <w:rPr>
          <w:rFonts w:hint="eastAsia" w:ascii="宋体" w:hAnsi="宋体" w:eastAsia="宋体" w:cs="宋体"/>
          <w:highlight w:val="none"/>
          <w:lang w:val="en"/>
        </w:rPr>
        <w:t>《协商情况记录》</w:t>
      </w:r>
      <w:r>
        <w:rPr>
          <w:rFonts w:hint="eastAsia" w:ascii="宋体" w:hAnsi="宋体" w:eastAsia="宋体" w:cs="宋体"/>
          <w:highlight w:val="none"/>
          <w:lang w:val="en" w:eastAsia="zh-CN"/>
        </w:rPr>
        <w:t>上传到电子开标系统，</w:t>
      </w:r>
      <w:r>
        <w:rPr>
          <w:rFonts w:hint="eastAsia" w:ascii="宋体" w:hAnsi="宋体" w:eastAsia="宋体" w:cs="宋体"/>
          <w:highlight w:val="none"/>
          <w:lang w:val="en"/>
        </w:rPr>
        <w:t>《协商情况记录》是响应文件的有效组成部分。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（五）如协商小组没有对协商文件作实质性变动增加新的需求，最后报价不得高于首次报价。</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（六）协商小组通过电子开标系统公开最后报价，供应商可离场。</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rPr>
        <w:t>（七）协商小组进行资格性和符合性审查,审查响应文件是否实质性响应协商文件。出现不符合下表所列情形之一的，不通过资格性和符合性审查。</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val="en"/>
        </w:rPr>
        <w:t>（八）协商小组应将不通过资格性和符合性审查的理由告知供应商。</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1"/>
        <w:rPr>
          <w:rFonts w:hint="eastAsia" w:ascii="宋体" w:hAnsi="宋体" w:eastAsia="宋体" w:cs="宋体"/>
          <w:highlight w:val="none"/>
        </w:rPr>
      </w:pPr>
      <w:bookmarkStart w:id="181" w:name="_Toc14165"/>
      <w:r>
        <w:rPr>
          <w:rFonts w:hint="eastAsia" w:ascii="宋体" w:hAnsi="宋体" w:eastAsia="宋体" w:cs="宋体"/>
          <w:b/>
          <w:bCs/>
          <w:highlight w:val="none"/>
          <w:lang w:val="en"/>
        </w:rPr>
        <w:t>资格性审查</w:t>
      </w:r>
      <w:bookmarkEnd w:id="181"/>
    </w:p>
    <w:bookmarkEnd w:id="159"/>
    <w:bookmarkEnd w:id="160"/>
    <w:bookmarkEnd w:id="161"/>
    <w:bookmarkEnd w:id="162"/>
    <w:bookmarkEnd w:id="163"/>
    <w:bookmarkEnd w:id="164"/>
    <w:bookmarkEnd w:id="165"/>
    <w:tbl>
      <w:tblPr>
        <w:tblStyle w:val="18"/>
        <w:tblW w:w="8799"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256"/>
        <w:gridCol w:w="754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88"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序号</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b/>
                <w:bCs/>
                <w:highlight w:val="none"/>
              </w:rPr>
              <w:t>资格审查内容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62"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1</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满足以下所有要求：响应文件提交成功、解密成功、能正常导入电子开标系统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509"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2</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符合《政府采购法》第二十二条所规定的条件；分支机构响应的，必须由总公司（总所）授权。根据以下信息进行评审：《供应商资格声明函》及其附件、分支机构的营业执照（执业许可证）扫描件及总公司（总所）出具给分支机构的授权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629"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3</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9"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4</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供应商出具的《公平竞争承诺书》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3"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rPr>
              <w:t>本项目不接受联合体报价。</w:t>
            </w:r>
          </w:p>
        </w:tc>
      </w:tr>
    </w:tbl>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1"/>
        <w:rPr>
          <w:rFonts w:hint="eastAsia" w:ascii="宋体" w:hAnsi="宋体" w:eastAsia="宋体" w:cs="宋体"/>
          <w:b/>
          <w:bCs/>
          <w:highlight w:val="none"/>
          <w:lang w:eastAsia="zh-CN"/>
        </w:rPr>
      </w:pPr>
      <w:bookmarkStart w:id="182" w:name="_Toc29260"/>
      <w:r>
        <w:rPr>
          <w:rFonts w:hint="eastAsia" w:ascii="宋体" w:hAnsi="宋体" w:eastAsia="宋体" w:cs="宋体"/>
          <w:b/>
          <w:bCs/>
          <w:highlight w:val="none"/>
          <w:lang w:eastAsia="zh-CN"/>
        </w:rPr>
        <w:t>符合性审查</w:t>
      </w:r>
      <w:bookmarkEnd w:id="182"/>
    </w:p>
    <w:tbl>
      <w:tblPr>
        <w:tblStyle w:val="18"/>
        <w:tblW w:w="8799" w:type="dxa"/>
        <w:tblInd w:w="-92"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256"/>
        <w:gridCol w:w="754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29"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序号</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b/>
                <w:bCs/>
                <w:highlight w:val="none"/>
              </w:rPr>
              <w:t>符合性审查内容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87"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1</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最后报价确定且不高于最高限价；如协商小组没有对协商文件作实质性变动增加新的需求，最后报价不得高于首次报价。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74"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2</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响应文件格式中带★格式文件已按要求填写、签章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87"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3</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供应商无对采购人、代理机构、协商小组及其工作人员施加影响，出现有碍政府采购公平、公正的情形。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88" w:hRule="atLeast"/>
        </w:trPr>
        <w:tc>
          <w:tcPr>
            <w:tcW w:w="125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rPr>
            </w:pPr>
            <w:r>
              <w:rPr>
                <w:rFonts w:hint="eastAsia" w:ascii="宋体" w:hAnsi="宋体" w:eastAsia="宋体" w:cs="宋体"/>
                <w:highlight w:val="none"/>
              </w:rPr>
              <w:t>4</w:t>
            </w:r>
          </w:p>
        </w:tc>
        <w:tc>
          <w:tcPr>
            <w:tcW w:w="754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未发现按有关法律、法规、规章规定属于无效报价的情形。</w:t>
            </w:r>
          </w:p>
        </w:tc>
      </w:tr>
    </w:tbl>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val="en"/>
        </w:rPr>
      </w:pPr>
      <w:r>
        <w:rPr>
          <w:rFonts w:hint="eastAsia" w:ascii="宋体" w:hAnsi="宋体" w:eastAsia="宋体" w:cs="宋体"/>
          <w:highlight w:val="none"/>
          <w:lang w:val="en" w:eastAsia="zh-CN"/>
        </w:rPr>
        <w:t>（九）</w:t>
      </w:r>
      <w:r>
        <w:rPr>
          <w:rFonts w:hint="eastAsia" w:ascii="宋体" w:hAnsi="宋体" w:eastAsia="宋体" w:cs="宋体"/>
          <w:highlight w:val="none"/>
          <w:lang w:val="en"/>
        </w:rPr>
        <w:t>协商小组按照符合采购需求、价格合理的原则推荐成交供应商，并出具评审报告。</w:t>
      </w:r>
    </w:p>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183" w:name="_Toc401575156"/>
      <w:bookmarkStart w:id="184" w:name="_Toc101951268"/>
      <w:bookmarkStart w:id="185" w:name="_Toc101775130"/>
      <w:bookmarkStart w:id="186" w:name="_Toc51770941"/>
      <w:bookmarkStart w:id="187" w:name="_Toc9327"/>
      <w:bookmarkStart w:id="188" w:name="_Toc22465"/>
      <w:bookmarkStart w:id="189" w:name="_Toc53561732"/>
      <w:bookmarkStart w:id="190" w:name="_Toc101771377"/>
      <w:bookmarkStart w:id="191" w:name="_Toc256000021"/>
      <w:bookmarkStart w:id="192" w:name="_Toc101843130"/>
      <w:bookmarkStart w:id="193" w:name="_Toc256000033"/>
      <w:bookmarkStart w:id="194" w:name="_Toc256000011"/>
      <w:bookmarkStart w:id="195" w:name="_Toc403491572"/>
      <w:bookmarkStart w:id="196" w:name="_Toc81320136"/>
      <w:bookmarkStart w:id="197" w:name="_Toc30320"/>
      <w:r>
        <w:rPr>
          <w:rFonts w:hint="eastAsia" w:ascii="宋体" w:hAnsi="宋体" w:eastAsia="宋体" w:cs="宋体"/>
          <w:b/>
          <w:bCs/>
          <w:highlight w:val="none"/>
          <w:lang w:eastAsia="zh-CN"/>
        </w:rPr>
        <w:t>四、</w:t>
      </w:r>
      <w:r>
        <w:rPr>
          <w:rFonts w:hint="eastAsia" w:ascii="宋体" w:hAnsi="宋体" w:eastAsia="宋体" w:cs="宋体"/>
          <w:b/>
          <w:bCs/>
          <w:highlight w:val="none"/>
        </w:rPr>
        <w:t>项目</w:t>
      </w:r>
      <w:r>
        <w:rPr>
          <w:rFonts w:hint="eastAsia" w:ascii="宋体" w:hAnsi="宋体" w:eastAsia="宋体" w:cs="宋体"/>
          <w:b/>
          <w:bCs/>
          <w:highlight w:val="none"/>
          <w:lang w:eastAsia="zh-CN"/>
        </w:rPr>
        <w:t>采购失败</w:t>
      </w:r>
      <w:r>
        <w:rPr>
          <w:rFonts w:hint="eastAsia" w:ascii="宋体" w:hAnsi="宋体" w:eastAsia="宋体" w:cs="宋体"/>
          <w:b/>
          <w:bCs/>
          <w:highlight w:val="none"/>
        </w:rPr>
        <w:t>处理</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bookmarkEnd w:id="166"/>
    <w:bookmarkEnd w:id="167"/>
    <w:bookmarkEnd w:id="168"/>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bookmarkStart w:id="198" w:name="_Toc101951269"/>
      <w:bookmarkStart w:id="199" w:name="_Toc81320137"/>
      <w:bookmarkStart w:id="200" w:name="_Toc53561733"/>
      <w:bookmarkStart w:id="201" w:name="_Toc256000012"/>
      <w:bookmarkStart w:id="202" w:name="_Toc42394514"/>
      <w:bookmarkStart w:id="203" w:name="_Toc256000022"/>
      <w:bookmarkStart w:id="204" w:name="_Toc403491573"/>
      <w:bookmarkStart w:id="205" w:name="_Toc401575157"/>
      <w:bookmarkStart w:id="206" w:name="_Toc256000034"/>
      <w:bookmarkStart w:id="207" w:name="_Toc51770942"/>
      <w:bookmarkStart w:id="208" w:name="_Toc42394670"/>
      <w:bookmarkStart w:id="209" w:name="_Toc101775131"/>
      <w:bookmarkStart w:id="210" w:name="_Toc50276154"/>
      <w:bookmarkStart w:id="211" w:name="_Toc98579066"/>
      <w:bookmarkStart w:id="212" w:name="_Toc101771378"/>
      <w:bookmarkStart w:id="213" w:name="_Toc41884703"/>
      <w:bookmarkStart w:id="214" w:name="_Toc101843131"/>
      <w:bookmarkStart w:id="215" w:name="_Toc42313169"/>
      <w:bookmarkStart w:id="216" w:name="_Toc98580290"/>
      <w:bookmarkStart w:id="217" w:name="_Toc41723933"/>
      <w:bookmarkStart w:id="218" w:name="_Toc98579607"/>
      <w:bookmarkStart w:id="219" w:name="_Toc98579008"/>
      <w:r>
        <w:rPr>
          <w:rFonts w:hint="eastAsia" w:ascii="宋体" w:hAnsi="宋体" w:eastAsia="宋体" w:cs="宋体"/>
          <w:highlight w:val="none"/>
        </w:rPr>
        <w:t>出现下列情况将作</w:t>
      </w:r>
      <w:r>
        <w:rPr>
          <w:rFonts w:hint="eastAsia" w:ascii="宋体" w:hAnsi="宋体" w:eastAsia="宋体" w:cs="宋体"/>
          <w:highlight w:val="none"/>
          <w:lang w:val="zh-CN"/>
        </w:rPr>
        <w:t>采购失败</w:t>
      </w:r>
      <w:r>
        <w:rPr>
          <w:rFonts w:hint="eastAsia" w:ascii="宋体" w:hAnsi="宋体" w:eastAsia="宋体" w:cs="宋体"/>
          <w:highlight w:val="none"/>
        </w:rPr>
        <w:t>处理：</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（一）</w:t>
      </w:r>
      <w:r>
        <w:rPr>
          <w:rFonts w:hint="eastAsia" w:ascii="宋体" w:hAnsi="宋体" w:eastAsia="宋体" w:cs="宋体"/>
          <w:highlight w:val="none"/>
        </w:rPr>
        <w:t>出现影响采购公正的违法、违规行为的。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（二）</w:t>
      </w:r>
      <w:r>
        <w:rPr>
          <w:rFonts w:hint="eastAsia" w:ascii="宋体" w:hAnsi="宋体" w:eastAsia="宋体" w:cs="宋体"/>
          <w:highlight w:val="none"/>
        </w:rPr>
        <w:t>供应商最后报价超过了采购预算，采购人不能支付的。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（三）</w:t>
      </w:r>
      <w:r>
        <w:rPr>
          <w:rFonts w:hint="eastAsia" w:ascii="宋体" w:hAnsi="宋体" w:eastAsia="宋体" w:cs="宋体"/>
          <w:highlight w:val="none"/>
        </w:rPr>
        <w:t>协商双方无法达成一致意见，协商小组不认可、不接受供应商的最后报价的。</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（四）</w:t>
      </w:r>
      <w:r>
        <w:rPr>
          <w:rFonts w:hint="eastAsia" w:ascii="宋体" w:hAnsi="宋体" w:eastAsia="宋体" w:cs="宋体"/>
          <w:highlight w:val="none"/>
        </w:rPr>
        <w:t>因重大变故，采购任务取消，或因情况变化，不再符合规定单一来源采购方式适用情形的。</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Pr>
        <w:keepNext w:val="0"/>
        <w:keepLines w:val="0"/>
        <w:pageBreakBefore w:val="0"/>
        <w:widowControl/>
        <w:kinsoku/>
        <w:wordWrap/>
        <w:overflowPunct/>
        <w:topLinePunct w:val="0"/>
        <w:autoSpaceDE/>
        <w:autoSpaceDN/>
        <w:bidi w:val="0"/>
        <w:adjustRightInd/>
        <w:snapToGrid/>
        <w:spacing w:line="300" w:lineRule="auto"/>
        <w:ind w:firstLine="482" w:firstLineChars="200"/>
        <w:jc w:val="both"/>
        <w:textAlignment w:val="auto"/>
        <w:outlineLvl w:val="1"/>
        <w:rPr>
          <w:rFonts w:hint="eastAsia" w:ascii="宋体" w:hAnsi="宋体" w:eastAsia="宋体" w:cs="宋体"/>
          <w:b/>
          <w:bCs/>
          <w:highlight w:val="none"/>
        </w:rPr>
      </w:pPr>
      <w:bookmarkStart w:id="220" w:name="_Toc13401"/>
      <w:bookmarkStart w:id="221" w:name="_Toc26296"/>
      <w:bookmarkStart w:id="222" w:name="_Toc31330"/>
      <w:r>
        <w:rPr>
          <w:rFonts w:hint="eastAsia" w:ascii="宋体" w:hAnsi="宋体" w:eastAsia="宋体" w:cs="宋体"/>
          <w:b/>
          <w:bCs/>
          <w:highlight w:val="none"/>
          <w:lang w:eastAsia="zh-CN"/>
        </w:rPr>
        <w:t>五、确定结果</w:t>
      </w:r>
      <w:bookmarkEnd w:id="220"/>
      <w:bookmarkEnd w:id="221"/>
      <w:bookmarkEnd w:id="222"/>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outlineLvl w:val="2"/>
        <w:rPr>
          <w:rFonts w:hint="eastAsia" w:ascii="宋体" w:hAnsi="宋体" w:eastAsia="宋体" w:cs="宋体"/>
          <w:highlight w:val="none"/>
        </w:rPr>
      </w:pPr>
      <w:bookmarkStart w:id="223" w:name="_Toc13093"/>
      <w:r>
        <w:rPr>
          <w:rFonts w:hint="eastAsia" w:ascii="宋体" w:hAnsi="宋体" w:eastAsia="宋体" w:cs="宋体"/>
          <w:highlight w:val="none"/>
          <w:lang w:eastAsia="zh-CN"/>
        </w:rPr>
        <w:t>（一）广州农村产权交易所有限公司</w:t>
      </w:r>
      <w:r>
        <w:rPr>
          <w:rFonts w:hint="eastAsia" w:ascii="宋体" w:hAnsi="宋体" w:eastAsia="宋体" w:cs="宋体"/>
          <w:highlight w:val="none"/>
        </w:rPr>
        <w:t>在协商结束后2个工作日内将评审报告</w:t>
      </w:r>
      <w:bookmarkEnd w:id="223"/>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及《采购结果通知书》送采购人。</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outlineLvl w:val="2"/>
        <w:rPr>
          <w:rFonts w:hint="eastAsia" w:ascii="宋体" w:hAnsi="宋体" w:eastAsia="宋体" w:cs="宋体"/>
          <w:highlight w:val="none"/>
        </w:rPr>
      </w:pPr>
      <w:bookmarkStart w:id="224" w:name="_Toc6648"/>
      <w:r>
        <w:rPr>
          <w:rFonts w:hint="eastAsia" w:ascii="宋体" w:hAnsi="宋体" w:eastAsia="宋体" w:cs="宋体"/>
          <w:highlight w:val="none"/>
          <w:lang w:eastAsia="zh-CN"/>
        </w:rPr>
        <w:t>（二）</w:t>
      </w:r>
      <w:r>
        <w:rPr>
          <w:rFonts w:hint="eastAsia" w:ascii="宋体" w:hAnsi="宋体" w:eastAsia="宋体" w:cs="宋体"/>
          <w:highlight w:val="none"/>
        </w:rPr>
        <w:t>采购人确认成交结果后，</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将成交结果在</w:t>
      </w:r>
      <w:bookmarkEnd w:id="224"/>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采购信息发布网站上公告。成交结果公告后，采购人或成交供应商须按协商文件第一章协商须知的约定向</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支付交易服务费。</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完成支付确认后，采购人、成交供应商方可下载打印成交通知书。成交供应商</w:t>
      </w:r>
      <w:r>
        <w:rPr>
          <w:rFonts w:hint="eastAsia" w:ascii="宋体" w:hAnsi="宋体" w:eastAsia="宋体" w:cs="宋体"/>
          <w:highlight w:val="none"/>
          <w:lang w:eastAsia="zh-CN"/>
        </w:rPr>
        <w:t>在完成缴费后领取发票和《成交通知书》，</w:t>
      </w:r>
      <w:r>
        <w:rPr>
          <w:rFonts w:hint="eastAsia" w:ascii="宋体" w:hAnsi="宋体" w:eastAsia="宋体" w:cs="宋体"/>
          <w:highlight w:val="none"/>
        </w:rPr>
        <w:t>《成交通知书》将作为授予合同资格的唯一合法依据。</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br w:type="page"/>
      </w: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0"/>
        <w:rPr>
          <w:rFonts w:hint="eastAsia" w:ascii="宋体" w:hAnsi="宋体" w:eastAsia="宋体" w:cs="宋体"/>
          <w:b/>
          <w:bCs/>
          <w:sz w:val="32"/>
          <w:szCs w:val="32"/>
          <w:highlight w:val="none"/>
          <w:lang w:eastAsia="zh-CN"/>
        </w:rPr>
      </w:pPr>
      <w:bookmarkStart w:id="225" w:name="_Toc10727"/>
      <w:bookmarkStart w:id="226" w:name="_Toc12120"/>
      <w:bookmarkStart w:id="227" w:name="_Toc8721"/>
      <w:r>
        <w:rPr>
          <w:rFonts w:hint="eastAsia" w:ascii="宋体" w:hAnsi="宋体" w:eastAsia="宋体" w:cs="宋体"/>
          <w:b/>
          <w:bCs/>
          <w:sz w:val="32"/>
          <w:szCs w:val="32"/>
          <w:highlight w:val="none"/>
          <w:lang w:eastAsia="zh-CN"/>
        </w:rPr>
        <w:t>第五章  响应文件格式</w:t>
      </w:r>
      <w:bookmarkEnd w:id="225"/>
      <w:bookmarkEnd w:id="226"/>
      <w:bookmarkEnd w:id="227"/>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lang w:eastAsia="zh-CN"/>
        </w:rPr>
        <w:t>响应文件包括但不限于以下组成内容，请按顺序制作，本章有提供格式文件的请按格式要求提交。（盖章要求：完成响应文件的制作后，可点击“签章”按钮进行电子签章。</w:t>
      </w:r>
      <w:r>
        <w:rPr>
          <w:rFonts w:hint="eastAsia" w:ascii="宋体" w:hAnsi="宋体" w:eastAsia="宋体" w:cs="宋体"/>
          <w:highlight w:val="none"/>
        </w:rPr>
        <w:t>）</w:t>
      </w:r>
    </w:p>
    <w:tbl>
      <w:tblPr>
        <w:tblStyle w:val="18"/>
        <w:tblW w:w="8479"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0"/>
        <w:gridCol w:w="4099"/>
        <w:gridCol w:w="1782"/>
        <w:gridCol w:w="1738"/>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66" w:hRule="atLeast"/>
          <w:tblHeader/>
        </w:trPr>
        <w:tc>
          <w:tcPr>
            <w:tcW w:w="860"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序号</w:t>
            </w:r>
          </w:p>
        </w:tc>
        <w:tc>
          <w:tcPr>
            <w:tcW w:w="4099"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文件名称</w:t>
            </w:r>
          </w:p>
        </w:tc>
        <w:tc>
          <w:tcPr>
            <w:tcW w:w="1782" w:type="dxa"/>
            <w:tcBorders>
              <w:left w:val="single" w:color="666666" w:sz="2" w:space="0"/>
              <w:bottom w:val="single" w:color="666666" w:sz="2" w:space="0"/>
              <w:right w:val="single" w:color="666666" w:sz="2" w:space="0"/>
            </w:tcBorders>
            <w:shd w:val="clear" w:color="auto" w:fill="FFFFFF"/>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盖章要求</w:t>
            </w:r>
          </w:p>
        </w:tc>
        <w:tc>
          <w:tcPr>
            <w:tcW w:w="1738"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使用标段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1</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封面</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★报价函</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3</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eastAsia="zh-CN"/>
              </w:rPr>
              <w:t>供应商</w:t>
            </w:r>
            <w:r>
              <w:rPr>
                <w:rFonts w:hint="eastAsia" w:ascii="宋体" w:hAnsi="宋体" w:eastAsia="宋体" w:cs="宋体"/>
                <w:highlight w:val="none"/>
              </w:rPr>
              <w:t>资格声明函</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6"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4</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★《供应商资格声明函》的附件</w:t>
            </w:r>
            <w:r>
              <w:rPr>
                <w:rFonts w:hint="eastAsia" w:ascii="宋体" w:hAnsi="宋体" w:eastAsia="宋体" w:cs="宋体"/>
                <w:highlight w:val="none"/>
              </w:rPr>
              <w:t>（提供以下相关证照之一的扫描件）：1企业法人提供企业法人营业执照；2事业法人提供事业法人登记证；3其他组织提供其他组织的营业执照或执业许可证；4自然人提供居民身份证等。</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5</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★开标一览表</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6</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★法定代表人证明书</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7</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授权委托证明书</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8</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总公司响应授权书（分支机构适用）</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9</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★实质性响应条款一览表</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0</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★粮库的产权证明或当地县（区）级粮食行政主管部门开具的使用权证明</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1</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★广东省粮油仓储单位备案管理登记证或广东省粮油企业管理系统备案证明</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2</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★供应商在中国农业发展银行广东省分行营业部（含下属支行）开设基本账户或一般存款账户的证明文件</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3</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★供应商在中国农业发展银行信用等级达到BBB+级或以上的证明</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4"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4</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中小微企业证明材料（提供以下任一证明材料扫描件）：1中小企业声明函；2残疾人福利性单位声明函</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5</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公平竞争承诺书</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PrEx>
        <w:trPr>
          <w:trHeight w:val="453" w:hRule="atLeast"/>
        </w:trPr>
        <w:tc>
          <w:tcPr>
            <w:tcW w:w="860"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6</w:t>
            </w:r>
          </w:p>
        </w:tc>
        <w:tc>
          <w:tcPr>
            <w:tcW w:w="409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代理服务费承诺书</w:t>
            </w:r>
          </w:p>
        </w:tc>
        <w:tc>
          <w:tcPr>
            <w:tcW w:w="1782" w:type="dxa"/>
            <w:tcBorders>
              <w:top w:val="single" w:color="666666" w:sz="2" w:space="0"/>
              <w:left w:val="single" w:color="666666" w:sz="2" w:space="0"/>
              <w:bottom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2" w:hRule="atLeast"/>
        </w:trPr>
        <w:tc>
          <w:tcPr>
            <w:tcW w:w="860" w:type="dxa"/>
            <w:tcBorders>
              <w:top w:val="single" w:color="666666" w:sz="2" w:space="0"/>
              <w:right w:val="single" w:color="666666" w:sz="2" w:space="0"/>
            </w:tcBorders>
            <w:shd w:val="clear" w:color="auto" w:fill="FFFFFF"/>
            <w:tcMar>
              <w:top w:w="34" w:type="dxa"/>
              <w:left w:w="38"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w:t>
            </w:r>
            <w:r>
              <w:rPr>
                <w:rFonts w:hint="eastAsia" w:ascii="宋体" w:hAnsi="宋体" w:eastAsia="宋体" w:cs="宋体"/>
                <w:highlight w:val="none"/>
                <w:lang w:val="en-US" w:eastAsia="zh-CN"/>
              </w:rPr>
              <w:t>7</w:t>
            </w:r>
          </w:p>
        </w:tc>
        <w:tc>
          <w:tcPr>
            <w:tcW w:w="4099"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供应商认为有必要说明的其他文件资料</w:t>
            </w:r>
          </w:p>
        </w:tc>
        <w:tc>
          <w:tcPr>
            <w:tcW w:w="1782" w:type="dxa"/>
            <w:tcBorders>
              <w:top w:val="single" w:color="666666" w:sz="2" w:space="0"/>
              <w:left w:val="single" w:color="666666" w:sz="2" w:space="0"/>
              <w:right w:val="single" w:color="666666" w:sz="2"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电子盖章</w:t>
            </w:r>
          </w:p>
        </w:tc>
        <w:tc>
          <w:tcPr>
            <w:tcW w:w="1738"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所有标段</w:t>
            </w:r>
          </w:p>
        </w:tc>
      </w:tr>
    </w:tbl>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highlight w:val="none"/>
        </w:rPr>
      </w:pPr>
      <w:r>
        <w:rPr>
          <w:rFonts w:hint="eastAsia" w:ascii="宋体" w:hAnsi="宋体" w:eastAsia="宋体" w:cs="宋体"/>
          <w:b/>
          <w:bCs/>
          <w:highlight w:val="none"/>
        </w:rPr>
        <w:t>特别提</w:t>
      </w:r>
      <w:bookmarkStart w:id="283" w:name="_GoBack"/>
      <w:bookmarkEnd w:id="283"/>
      <w:r>
        <w:rPr>
          <w:rFonts w:hint="eastAsia" w:ascii="宋体" w:hAnsi="宋体" w:eastAsia="宋体" w:cs="宋体"/>
          <w:b/>
          <w:bCs/>
          <w:highlight w:val="none"/>
        </w:rPr>
        <w:t>示与要求！</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headerReference r:id="rId7" w:type="default"/>
          <w:footerReference r:id="rId8" w:type="default"/>
          <w:pgSz w:w="12240" w:h="15840"/>
          <w:pgMar w:top="1440" w:right="1800" w:bottom="1440" w:left="1800" w:header="1000" w:footer="1000" w:gutter="0"/>
          <w:cols w:space="720" w:num="1"/>
        </w:sectPr>
      </w:pPr>
      <w:r>
        <w:rPr>
          <w:rFonts w:hint="eastAsia" w:ascii="宋体" w:hAnsi="宋体" w:eastAsia="宋体" w:cs="宋体"/>
          <w:highlight w:val="none"/>
          <w:lang w:eastAsia="zh-CN"/>
        </w:rPr>
        <w:t xml:space="preserve">请供应商严格按照表格内容及要求制作协商文件，所有证书类文件提供原件扫描件且必须在有效期内，表中带★的材料将作为供应商资格性和符合性审查的重要内容之一。 </w:t>
      </w:r>
      <w:r>
        <w:rPr>
          <w:rFonts w:hint="eastAsia" w:ascii="宋体" w:hAnsi="宋体" w:eastAsia="宋体" w:cs="宋体"/>
          <w:color w:val="FF0000"/>
          <w:highlight w:val="none"/>
          <w:lang w:eastAsia="zh-CN"/>
        </w:rPr>
        <w:t>如★内容未按上述规定上传响应材料，将严重影响评审结果。</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highlight w:val="none"/>
          <w:lang w:eastAsia="zh-CN"/>
        </w:rPr>
      </w:pPr>
      <w:bookmarkStart w:id="228" w:name="_Toc9834"/>
      <w:bookmarkStart w:id="229" w:name="_Toc8294"/>
      <w:r>
        <w:rPr>
          <w:rFonts w:hint="eastAsia" w:ascii="宋体" w:hAnsi="宋体" w:eastAsia="宋体" w:cs="宋体"/>
          <w:b/>
          <w:bCs/>
          <w:sz w:val="32"/>
          <w:szCs w:val="32"/>
          <w:highlight w:val="none"/>
          <w:lang w:eastAsia="zh-CN"/>
        </w:rPr>
        <w:t>封面</w:t>
      </w:r>
      <w:bookmarkEnd w:id="228"/>
      <w:bookmarkEnd w:id="229"/>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___________________________________________项目</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outlineLvl w:val="0"/>
        <w:rPr>
          <w:rFonts w:hint="eastAsia" w:ascii="宋体" w:hAnsi="宋体" w:eastAsia="宋体" w:cs="宋体"/>
          <w:b/>
          <w:bCs/>
          <w:sz w:val="44"/>
          <w:szCs w:val="44"/>
          <w:highlight w:val="none"/>
          <w:lang w:eastAsia="zh-CN"/>
        </w:rPr>
      </w:pPr>
      <w:bookmarkStart w:id="230" w:name="_Toc23074"/>
      <w:r>
        <w:rPr>
          <w:rFonts w:hint="eastAsia" w:ascii="宋体" w:hAnsi="宋体" w:eastAsia="宋体" w:cs="宋体"/>
          <w:b/>
          <w:bCs/>
          <w:sz w:val="44"/>
          <w:szCs w:val="44"/>
          <w:highlight w:val="none"/>
          <w:lang w:eastAsia="zh-CN"/>
        </w:rPr>
        <w:t>响应文件</w:t>
      </w:r>
      <w:bookmarkEnd w:id="230"/>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供应商单位：___________________________</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__________年________月________日</w:t>
      </w:r>
    </w:p>
    <w:p>
      <w:pPr>
        <w:pStyle w:val="3"/>
        <w:bidi w:val="0"/>
        <w:jc w:val="center"/>
        <w:rPr>
          <w:rFonts w:hint="eastAsia" w:ascii="宋体" w:hAnsi="宋体" w:eastAsia="宋体" w:cs="宋体"/>
          <w:sz w:val="36"/>
          <w:szCs w:val="36"/>
          <w:highlight w:val="none"/>
        </w:rPr>
      </w:pPr>
      <w:bookmarkStart w:id="231" w:name="_Toc32694"/>
      <w:bookmarkStart w:id="232" w:name="_Toc38427997"/>
      <w:r>
        <w:rPr>
          <w:rFonts w:hint="eastAsia" w:ascii="宋体" w:hAnsi="宋体" w:eastAsia="宋体" w:cs="宋体"/>
          <w:sz w:val="36"/>
          <w:szCs w:val="36"/>
          <w:highlight w:val="none"/>
          <w:lang w:eastAsia="zh-CN"/>
        </w:rPr>
        <w:t>★</w:t>
      </w:r>
      <w:r>
        <w:rPr>
          <w:rFonts w:hint="eastAsia" w:ascii="宋体" w:hAnsi="宋体" w:eastAsia="宋体" w:cs="宋体"/>
          <w:sz w:val="36"/>
          <w:szCs w:val="36"/>
          <w:highlight w:val="none"/>
        </w:rPr>
        <w:t>报价函</w:t>
      </w:r>
      <w:bookmarkEnd w:id="231"/>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致：</w:t>
      </w:r>
      <w:bookmarkEnd w:id="232"/>
      <w:r>
        <w:rPr>
          <w:rFonts w:hint="eastAsia" w:ascii="宋体" w:hAnsi="宋体" w:eastAsia="宋体" w:cs="宋体"/>
          <w:highlight w:val="none"/>
          <w:lang w:eastAsia="zh-CN"/>
        </w:rPr>
        <w:t>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rPr>
        <w:t>我方确认收到贵</w:t>
      </w:r>
      <w:r>
        <w:rPr>
          <w:rFonts w:hint="eastAsia" w:ascii="宋体" w:hAnsi="宋体" w:eastAsia="宋体" w:cs="宋体"/>
          <w:highlight w:val="none"/>
          <w:lang w:val="en-US" w:eastAsia="zh-CN"/>
        </w:rPr>
        <w:t>方</w:t>
      </w:r>
      <w:r>
        <w:rPr>
          <w:rFonts w:hint="eastAsia" w:ascii="宋体" w:hAnsi="宋体" w:eastAsia="宋体" w:cs="宋体"/>
          <w:highlight w:val="none"/>
        </w:rPr>
        <w:t>提供“</w:t>
      </w:r>
      <w:r>
        <w:rPr>
          <w:rFonts w:hint="eastAsia" w:ascii="宋体" w:hAnsi="宋体" w:eastAsia="宋体" w:cs="宋体"/>
          <w:highlight w:val="yellow"/>
          <w:u w:val="none"/>
          <w:lang w:eastAsia="zh-CN"/>
        </w:rPr>
        <w:t>2022年广州市荔湾区级储备粮承储招标项目（三次）</w:t>
      </w:r>
      <w:r>
        <w:rPr>
          <w:rFonts w:hint="eastAsia" w:ascii="宋体" w:hAnsi="宋体" w:eastAsia="宋体" w:cs="宋体"/>
          <w:highlight w:val="none"/>
          <w:u w:val="none"/>
          <w:lang w:val="zh-CN"/>
        </w:rPr>
        <w:t>”（项目编号：</w:t>
      </w:r>
      <w:r>
        <w:rPr>
          <w:rFonts w:hint="eastAsia" w:ascii="宋体" w:hAnsi="宋体" w:eastAsia="宋体" w:cs="宋体"/>
          <w:highlight w:val="yellow"/>
          <w:u w:val="none"/>
          <w:lang w:eastAsia="zh-CN"/>
        </w:rPr>
        <w:t>LW2022LS10004D</w:t>
      </w:r>
      <w:r>
        <w:rPr>
          <w:rFonts w:hint="eastAsia" w:ascii="宋体" w:hAnsi="宋体" w:eastAsia="宋体" w:cs="宋体"/>
          <w:highlight w:val="none"/>
          <w:lang w:val="zh-CN"/>
        </w:rPr>
        <w:t>）的单一来源采购协商文件，</w:t>
      </w:r>
      <w:r>
        <w:rPr>
          <w:rFonts w:hint="eastAsia" w:ascii="宋体" w:hAnsi="宋体" w:eastAsia="宋体" w:cs="宋体"/>
          <w:highlight w:val="none"/>
        </w:rPr>
        <w:t>已完全理解协商文件所有内容，决定参加该项目的报价。据此我方承诺如下：</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一、</w:t>
      </w:r>
      <w:r>
        <w:rPr>
          <w:rFonts w:hint="eastAsia" w:ascii="宋体" w:hAnsi="宋体" w:eastAsia="宋体" w:cs="宋体"/>
          <w:highlight w:val="none"/>
        </w:rPr>
        <w:t>我方的响应文件在提交响应文件截止之日后90天（日历天）内有效，如成交，有效期将延至本项目《广州市政府采购合同》执行期满日为止。</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二、</w:t>
      </w:r>
      <w:r>
        <w:rPr>
          <w:rFonts w:hint="eastAsia" w:ascii="宋体" w:hAnsi="宋体" w:eastAsia="宋体" w:cs="宋体"/>
          <w:highlight w:val="none"/>
        </w:rPr>
        <w:t>我方在参与协商前已仔细研究了协商文件和所有相关资料，我方同意协商文件的相关条款，放弃对协商文件提出误解和质疑的一切权力。</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三、</w:t>
      </w:r>
      <w:r>
        <w:rPr>
          <w:rFonts w:hint="eastAsia" w:ascii="宋体" w:hAnsi="宋体" w:eastAsia="宋体" w:cs="宋体"/>
          <w:highlight w:val="none"/>
        </w:rPr>
        <w:t>我方声明响应文件及所提供的一切资料均真实无误及有效。由于我方提供资料不实而造成的责任和后果由我方承担。我方同意按照贵方可能提出的要求，提供与报价有关的任何其它数据或信息。</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四、</w:t>
      </w:r>
      <w:r>
        <w:rPr>
          <w:rFonts w:hint="eastAsia" w:ascii="宋体" w:hAnsi="宋体" w:eastAsia="宋体" w:cs="宋体"/>
          <w:highlight w:val="none"/>
        </w:rPr>
        <w:t>我方接受按采购人委托向贵方支付</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交易服务费，如果被确定为成交供应商，保证履行响应文件中承诺的全部责任和义务，切实履行《广州市政府采购合同》中的全部条款，项目总报价已包含</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交易服务费（</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rPr>
        <w:t>交易服务费按照单一来源采购协商文件第一章协商须知中所列收费标准计算），并承诺向贵</w:t>
      </w:r>
      <w:r>
        <w:rPr>
          <w:rFonts w:hint="eastAsia" w:ascii="宋体" w:hAnsi="宋体" w:eastAsia="宋体" w:cs="宋体"/>
          <w:highlight w:val="none"/>
          <w:lang w:eastAsia="zh-CN"/>
        </w:rPr>
        <w:t>方</w:t>
      </w:r>
      <w:r>
        <w:rPr>
          <w:rFonts w:hint="eastAsia" w:ascii="宋体" w:hAnsi="宋体" w:eastAsia="宋体" w:cs="宋体"/>
          <w:highlight w:val="none"/>
        </w:rPr>
        <w:t>足额支付。</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五、</w:t>
      </w:r>
      <w:r>
        <w:rPr>
          <w:rFonts w:hint="eastAsia" w:ascii="宋体" w:hAnsi="宋体" w:eastAsia="宋体" w:cs="宋体"/>
          <w:highlight w:val="none"/>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六、</w:t>
      </w:r>
      <w:r>
        <w:rPr>
          <w:rFonts w:hint="eastAsia" w:ascii="宋体" w:hAnsi="宋体" w:eastAsia="宋体" w:cs="宋体"/>
          <w:highlight w:val="none"/>
        </w:rPr>
        <w:t>我方______储备粮库能承储普通大米____吨，储存方式为包装储存。</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七、</w:t>
      </w:r>
      <w:r>
        <w:rPr>
          <w:rFonts w:hint="eastAsia" w:ascii="宋体" w:hAnsi="宋体" w:eastAsia="宋体" w:cs="宋体"/>
          <w:highlight w:val="none"/>
        </w:rPr>
        <w:t>我方_____储备粮库有/无（请投标人自行选择）存放荔湾区级地方储备粮以外的粮食，承储粮食存放在____个仓库，近3年内有/无（请投标人自行选择）发生市级认定的安全生产事故。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八、</w:t>
      </w:r>
      <w:r>
        <w:rPr>
          <w:rFonts w:hint="eastAsia" w:ascii="宋体" w:hAnsi="宋体" w:eastAsia="宋体" w:cs="宋体"/>
          <w:highlight w:val="none"/>
        </w:rPr>
        <w:t>我方接受采购人保留在确认</w:t>
      </w:r>
      <w:r>
        <w:rPr>
          <w:rFonts w:hint="eastAsia" w:ascii="宋体" w:hAnsi="宋体" w:eastAsia="宋体" w:cs="宋体"/>
          <w:highlight w:val="none"/>
          <w:lang w:eastAsia="zh-CN"/>
        </w:rPr>
        <w:t>中选</w:t>
      </w:r>
      <w:r>
        <w:rPr>
          <w:rFonts w:hint="eastAsia" w:ascii="宋体" w:hAnsi="宋体" w:eastAsia="宋体" w:cs="宋体"/>
          <w:highlight w:val="none"/>
        </w:rPr>
        <w:t>粮仓承储资格前依据</w:t>
      </w:r>
      <w:r>
        <w:rPr>
          <w:rFonts w:hint="eastAsia" w:ascii="宋体" w:hAnsi="宋体" w:eastAsia="宋体" w:cs="宋体"/>
          <w:highlight w:val="none"/>
          <w:lang w:eastAsia="zh-CN"/>
        </w:rPr>
        <w:t>响应</w:t>
      </w:r>
      <w:r>
        <w:rPr>
          <w:rFonts w:hint="eastAsia" w:ascii="宋体" w:hAnsi="宋体" w:eastAsia="宋体" w:cs="宋体"/>
          <w:highlight w:val="none"/>
        </w:rPr>
        <w:t>承诺对</w:t>
      </w:r>
      <w:r>
        <w:rPr>
          <w:rFonts w:hint="eastAsia" w:ascii="宋体" w:hAnsi="宋体" w:eastAsia="宋体" w:cs="宋体"/>
          <w:highlight w:val="none"/>
          <w:lang w:eastAsia="zh-CN"/>
        </w:rPr>
        <w:t>中选</w:t>
      </w:r>
      <w:r>
        <w:rPr>
          <w:rFonts w:hint="eastAsia" w:ascii="宋体" w:hAnsi="宋体" w:eastAsia="宋体" w:cs="宋体"/>
          <w:highlight w:val="none"/>
        </w:rPr>
        <w:t>粮仓进行现场</w:t>
      </w:r>
      <w:r>
        <w:rPr>
          <w:rFonts w:hint="eastAsia" w:ascii="宋体" w:hAnsi="宋体" w:eastAsia="宋体" w:cs="宋体"/>
          <w:highlight w:val="none"/>
          <w:lang w:eastAsia="zh-CN"/>
        </w:rPr>
        <w:t>响应</w:t>
      </w:r>
      <w:r>
        <w:rPr>
          <w:rFonts w:hint="eastAsia" w:ascii="宋体" w:hAnsi="宋体" w:eastAsia="宋体" w:cs="宋体"/>
          <w:highlight w:val="none"/>
        </w:rPr>
        <w:t>承诺核查的权力。即</w:t>
      </w:r>
      <w:r>
        <w:rPr>
          <w:rFonts w:hint="eastAsia" w:ascii="宋体" w:hAnsi="宋体" w:eastAsia="宋体" w:cs="宋体"/>
          <w:highlight w:val="none"/>
          <w:lang w:eastAsia="zh-CN"/>
        </w:rPr>
        <w:t>评审</w:t>
      </w:r>
      <w:r>
        <w:rPr>
          <w:rFonts w:hint="eastAsia" w:ascii="宋体" w:hAnsi="宋体" w:eastAsia="宋体" w:cs="宋体"/>
          <w:highlight w:val="none"/>
        </w:rPr>
        <w:t>结束后，采购人在</w:t>
      </w:r>
      <w:r>
        <w:rPr>
          <w:rFonts w:hint="eastAsia" w:ascii="宋体" w:hAnsi="宋体" w:eastAsia="宋体" w:cs="宋体"/>
          <w:highlight w:val="none"/>
          <w:lang w:eastAsia="zh-CN"/>
        </w:rPr>
        <w:t>评审</w:t>
      </w:r>
      <w:r>
        <w:rPr>
          <w:rFonts w:hint="eastAsia" w:ascii="宋体" w:hAnsi="宋体" w:eastAsia="宋体" w:cs="宋体"/>
          <w:highlight w:val="none"/>
        </w:rPr>
        <w:t>报告确定的</w:t>
      </w:r>
      <w:r>
        <w:rPr>
          <w:rFonts w:hint="eastAsia" w:ascii="宋体" w:hAnsi="宋体" w:eastAsia="宋体" w:cs="宋体"/>
          <w:highlight w:val="none"/>
          <w:lang w:eastAsia="zh-CN"/>
        </w:rPr>
        <w:t>成交供应商</w:t>
      </w:r>
      <w:r>
        <w:rPr>
          <w:rFonts w:hint="eastAsia" w:ascii="宋体" w:hAnsi="宋体" w:eastAsia="宋体" w:cs="宋体"/>
          <w:highlight w:val="none"/>
        </w:rPr>
        <w:t>候选人名单中对</w:t>
      </w:r>
      <w:r>
        <w:rPr>
          <w:rFonts w:hint="eastAsia" w:ascii="宋体" w:hAnsi="宋体" w:eastAsia="宋体" w:cs="宋体"/>
          <w:highlight w:val="none"/>
          <w:lang w:eastAsia="zh-CN"/>
        </w:rPr>
        <w:t>中选</w:t>
      </w:r>
      <w:r>
        <w:rPr>
          <w:rFonts w:hint="eastAsia" w:ascii="宋体" w:hAnsi="宋体" w:eastAsia="宋体" w:cs="宋体"/>
          <w:highlight w:val="none"/>
        </w:rPr>
        <w:t>粮仓进行现场</w:t>
      </w:r>
      <w:r>
        <w:rPr>
          <w:rFonts w:hint="eastAsia" w:ascii="宋体" w:hAnsi="宋体" w:eastAsia="宋体" w:cs="宋体"/>
          <w:highlight w:val="none"/>
          <w:lang w:eastAsia="zh-CN"/>
        </w:rPr>
        <w:t>响应</w:t>
      </w:r>
      <w:r>
        <w:rPr>
          <w:rFonts w:hint="eastAsia" w:ascii="宋体" w:hAnsi="宋体" w:eastAsia="宋体" w:cs="宋体"/>
          <w:highlight w:val="none"/>
        </w:rPr>
        <w:t>承诺核查，最终确定</w:t>
      </w:r>
      <w:r>
        <w:rPr>
          <w:rFonts w:hint="eastAsia" w:ascii="宋体" w:hAnsi="宋体" w:eastAsia="宋体" w:cs="宋体"/>
          <w:highlight w:val="none"/>
          <w:lang w:eastAsia="zh-CN"/>
        </w:rPr>
        <w:t>成交供应商</w:t>
      </w:r>
      <w:r>
        <w:rPr>
          <w:rFonts w:hint="eastAsia" w:ascii="宋体" w:hAnsi="宋体" w:eastAsia="宋体" w:cs="宋体"/>
          <w:highlight w:val="none"/>
        </w:rPr>
        <w:t>。</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rPr>
      </w:pPr>
      <w:r>
        <w:rPr>
          <w:rFonts w:hint="eastAsia" w:ascii="宋体" w:hAnsi="宋体" w:eastAsia="宋体" w:cs="宋体"/>
          <w:highlight w:val="none"/>
          <w:lang w:eastAsia="zh-CN"/>
        </w:rPr>
        <w:t>九、所</w:t>
      </w:r>
      <w:r>
        <w:rPr>
          <w:rFonts w:hint="eastAsia" w:ascii="宋体" w:hAnsi="宋体" w:eastAsia="宋体" w:cs="宋体"/>
          <w:highlight w:val="none"/>
        </w:rPr>
        <w:t>有与本项目有关的函件请发往下列地址：</w:t>
      </w:r>
    </w:p>
    <w:tbl>
      <w:tblPr>
        <w:tblStyle w:val="1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2698"/>
        <w:gridCol w:w="1280"/>
        <w:gridCol w:w="1207"/>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178"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地    址：</w:t>
            </w:r>
          </w:p>
        </w:tc>
        <w:tc>
          <w:tcPr>
            <w:tcW w:w="3978" w:type="dxa"/>
            <w:gridSpan w:val="2"/>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1207"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邮政编码：</w:t>
            </w:r>
          </w:p>
        </w:tc>
        <w:tc>
          <w:tcPr>
            <w:tcW w:w="1495"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78"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电    话：</w:t>
            </w:r>
          </w:p>
        </w:tc>
        <w:tc>
          <w:tcPr>
            <w:tcW w:w="2698"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1280"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传    真：</w:t>
            </w:r>
          </w:p>
        </w:tc>
        <w:tc>
          <w:tcPr>
            <w:tcW w:w="2702" w:type="dxa"/>
            <w:gridSpan w:val="2"/>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78"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联 系 人：</w:t>
            </w:r>
          </w:p>
        </w:tc>
        <w:tc>
          <w:tcPr>
            <w:tcW w:w="2698"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1280"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职    务：</w:t>
            </w:r>
          </w:p>
        </w:tc>
        <w:tc>
          <w:tcPr>
            <w:tcW w:w="2702" w:type="dxa"/>
            <w:gridSpan w:val="2"/>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bl>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ind w:firstLine="4320" w:firstLineChars="1800"/>
        <w:jc w:val="both"/>
        <w:textAlignment w:val="auto"/>
        <w:rPr>
          <w:rFonts w:hint="default" w:ascii="宋体" w:hAnsi="宋体" w:eastAsia="宋体" w:cs="宋体"/>
          <w:highlight w:val="none"/>
          <w:lang w:val="en-US" w:eastAsia="zh-CN"/>
        </w:rPr>
      </w:pPr>
      <w:r>
        <w:rPr>
          <w:rFonts w:hint="eastAsia" w:ascii="宋体" w:hAnsi="宋体" w:eastAsia="宋体" w:cs="宋体"/>
          <w:highlight w:val="none"/>
        </w:rPr>
        <w:t>报  价  人（单位公章）：</w:t>
      </w:r>
      <w:r>
        <w:rPr>
          <w:rFonts w:hint="eastAsia" w:ascii="宋体" w:hAnsi="宋体" w:eastAsia="宋体" w:cs="宋体"/>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ind w:left="5040" w:hanging="5040" w:hangingChars="2100"/>
        <w:jc w:val="both"/>
        <w:textAlignment w:val="auto"/>
        <w:rPr>
          <w:rFonts w:hint="eastAsia" w:ascii="宋体" w:hAnsi="宋体" w:eastAsia="宋体" w:cs="宋体"/>
          <w:highlight w:val="none"/>
        </w:rPr>
      </w:pPr>
      <w:r>
        <w:rPr>
          <w:rFonts w:hint="eastAsia" w:ascii="宋体" w:hAnsi="宋体" w:eastAsia="宋体" w:cs="宋体"/>
          <w:highlight w:val="none"/>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rPr>
        <w:t xml:space="preserve">  日    期：20  年   月   日</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bookmarkStart w:id="233" w:name="_Toc37581429"/>
      <w:r>
        <w:rPr>
          <w:rFonts w:hint="eastAsia" w:ascii="宋体" w:hAnsi="宋体" w:eastAsia="宋体" w:cs="宋体"/>
          <w:highlight w:val="none"/>
        </w:rPr>
        <w:t>说明：本格式文件内容不得擅自删改。</w:t>
      </w:r>
      <w:bookmarkEnd w:id="233"/>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sectPr>
          <w:pgSz w:w="11906" w:h="16838"/>
          <w:pgMar w:top="1440" w:right="1800" w:bottom="1440" w:left="1800" w:header="851" w:footer="992" w:gutter="0"/>
          <w:cols w:space="425" w:num="1"/>
          <w:docGrid w:type="lines" w:linePitch="312" w:charSpace="0"/>
        </w:sectPr>
      </w:pPr>
    </w:p>
    <w:p>
      <w:pPr>
        <w:pStyle w:val="3"/>
        <w:bidi w:val="0"/>
        <w:jc w:val="center"/>
        <w:rPr>
          <w:rFonts w:hint="eastAsia" w:ascii="宋体" w:hAnsi="宋体" w:eastAsia="宋体" w:cs="宋体"/>
          <w:sz w:val="36"/>
          <w:szCs w:val="36"/>
          <w:highlight w:val="none"/>
          <w:lang w:eastAsia="zh-CN"/>
        </w:rPr>
      </w:pPr>
      <w:bookmarkStart w:id="234" w:name="_Toc10515"/>
      <w:bookmarkStart w:id="235" w:name="_Toc21884"/>
      <w:bookmarkStart w:id="236" w:name="_Toc23496"/>
      <w:r>
        <w:rPr>
          <w:rFonts w:hint="eastAsia" w:ascii="宋体" w:hAnsi="宋体" w:eastAsia="宋体" w:cs="宋体"/>
          <w:sz w:val="36"/>
          <w:szCs w:val="36"/>
          <w:highlight w:val="none"/>
          <w:lang w:eastAsia="zh-CN"/>
        </w:rPr>
        <w:t>★供应商资格声明函</w:t>
      </w:r>
      <w:bookmarkEnd w:id="234"/>
      <w:bookmarkEnd w:id="235"/>
      <w:bookmarkEnd w:id="236"/>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关于贵方　 　年　　月　　日发布关于“</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yellow"/>
          <w:lang w:eastAsia="zh-CN"/>
        </w:rPr>
        <w:t>LW2022LS10004D</w:t>
      </w:r>
      <w:r>
        <w:rPr>
          <w:rFonts w:hint="eastAsia" w:ascii="宋体" w:hAnsi="宋体" w:eastAsia="宋体" w:cs="宋体"/>
          <w:highlight w:val="none"/>
          <w:lang w:eastAsia="zh-CN"/>
        </w:rPr>
        <w:t>）的采购公告，我方愿意参加单一来源采购活动，并已清楚协商文件的要求及有关文件规定，现声明和保证如下：</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一、我方具备《中华人民共和国政府采购法》第二十二条所规定的条件。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（一）具有独立承担民事责任的能力，提供以下相关证照的扫描件（见附件）之一：1.企业法人营业执照；2.事业法人登记证；3.其他组织的营业执照或执业许可证；4.居民身份证等；</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（二）具有良好的商业信誉和健全的财务会计制度；</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（三）具有履行合同所必需的设备和专业技术能力；</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（五）参加政府采购活动前三年内，在经营活动中没有重大违法记录；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（六）法律、行政法规规定的其他条件。</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二、本次单一来源采购活动中，如有违法、违规、弄虚作假行为，所造成的损失、不良后果及法律责任，一律由我方承担。</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三、我方非广州市荔湾区发展和改革局直属/下属企业或组织。</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四、我方没有处于被责令停业或破产状态，且资产未被重组、接管和冻结。</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outlineLvl w:val="0"/>
        <w:rPr>
          <w:rFonts w:hint="eastAsia" w:ascii="宋体" w:hAnsi="宋体" w:eastAsia="宋体" w:cs="宋体"/>
          <w:b/>
          <w:bCs/>
          <w:highlight w:val="none"/>
          <w:lang w:eastAsia="zh-CN"/>
        </w:rPr>
      </w:pPr>
      <w:bookmarkStart w:id="237" w:name="_Toc31457"/>
      <w:r>
        <w:rPr>
          <w:rFonts w:hint="eastAsia" w:ascii="宋体" w:hAnsi="宋体" w:eastAsia="宋体" w:cs="宋体"/>
          <w:b/>
          <w:bCs/>
          <w:highlight w:val="none"/>
          <w:lang w:eastAsia="zh-CN"/>
        </w:rPr>
        <w:t>特此声明！</w:t>
      </w:r>
      <w:bookmarkEnd w:id="237"/>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left="5040" w:hanging="5040" w:hangingChars="21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ind w:left="5040" w:leftChars="1100" w:hanging="2400" w:hangingChars="10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供应商名称（单位公章）：</w:t>
      </w:r>
    </w:p>
    <w:p>
      <w:pPr>
        <w:keepNext w:val="0"/>
        <w:keepLines w:val="0"/>
        <w:pageBreakBefore w:val="0"/>
        <w:widowControl/>
        <w:kinsoku/>
        <w:wordWrap/>
        <w:overflowPunct/>
        <w:topLinePunct w:val="0"/>
        <w:autoSpaceDE/>
        <w:autoSpaceDN/>
        <w:bidi w:val="0"/>
        <w:adjustRightInd/>
        <w:snapToGrid/>
        <w:spacing w:line="300" w:lineRule="auto"/>
        <w:ind w:firstLine="2640" w:firstLineChars="11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法定代表人/负责人/委托代理人（签字或盖章）：</w:t>
      </w:r>
    </w:p>
    <w:p>
      <w:pPr>
        <w:keepNext w:val="0"/>
        <w:keepLines w:val="0"/>
        <w:pageBreakBefore w:val="0"/>
        <w:widowControl/>
        <w:kinsoku/>
        <w:wordWrap/>
        <w:overflowPunct/>
        <w:topLinePunct w:val="0"/>
        <w:autoSpaceDE/>
        <w:autoSpaceDN/>
        <w:bidi w:val="0"/>
        <w:adjustRightInd/>
        <w:snapToGrid/>
        <w:spacing w:line="300" w:lineRule="auto"/>
        <w:ind w:firstLine="5520" w:firstLineChars="23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日期：    年   月   日</w:t>
      </w:r>
    </w:p>
    <w:p>
      <w:pPr>
        <w:keepNext w:val="0"/>
        <w:keepLines w:val="0"/>
        <w:pageBreakBefore w:val="0"/>
        <w:widowControl/>
        <w:kinsoku/>
        <w:wordWrap/>
        <w:overflowPunct/>
        <w:topLinePunct w:val="0"/>
        <w:autoSpaceDE/>
        <w:autoSpaceDN/>
        <w:bidi w:val="0"/>
        <w:adjustRightInd/>
        <w:snapToGrid/>
        <w:spacing w:line="300" w:lineRule="auto"/>
        <w:ind w:firstLine="6240" w:firstLineChars="26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说明：1.本格式文件内容不得擅自删改。</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2.分支机构响应的，以上《供应商资格声明函》必须由分支机构和总公司（总所）同时加盖公章或电子签章，附件由总公司（总所）提供。</w:t>
      </w:r>
    </w:p>
    <w:p>
      <w:pPr>
        <w:pStyle w:val="3"/>
        <w:bidi w:val="0"/>
        <w:jc w:val="center"/>
        <w:rPr>
          <w:rFonts w:hint="eastAsia" w:ascii="宋体" w:hAnsi="宋体" w:eastAsia="宋体" w:cs="宋体"/>
          <w:sz w:val="36"/>
          <w:szCs w:val="36"/>
          <w:highlight w:val="none"/>
          <w:lang w:eastAsia="zh-CN"/>
        </w:rPr>
      </w:pPr>
      <w:bookmarkStart w:id="238" w:name="_Toc8813"/>
      <w:bookmarkStart w:id="239" w:name="_Toc1850"/>
      <w:bookmarkStart w:id="240" w:name="_Toc13227"/>
      <w:r>
        <w:rPr>
          <w:rFonts w:hint="eastAsia" w:ascii="宋体" w:hAnsi="宋体" w:eastAsia="宋体" w:cs="宋体"/>
          <w:sz w:val="36"/>
          <w:szCs w:val="36"/>
          <w:highlight w:val="none"/>
          <w:lang w:eastAsia="zh-CN"/>
        </w:rPr>
        <w:t>★《供应商资格声明函》的附件</w:t>
      </w:r>
      <w:bookmarkEnd w:id="238"/>
      <w:bookmarkEnd w:id="239"/>
      <w:bookmarkEnd w:id="240"/>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请提供以下相关证照之一的扫描件：</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（1企业法人营业执照；2事业法人登记证；3其他组织的营业执照或执业许可证；4居民身份证）</w:t>
      </w:r>
    </w:p>
    <w:p>
      <w:pPr>
        <w:pStyle w:val="3"/>
        <w:bidi w:val="0"/>
        <w:jc w:val="center"/>
        <w:rPr>
          <w:rFonts w:hint="eastAsia" w:ascii="宋体" w:hAnsi="宋体" w:eastAsia="宋体" w:cs="宋体"/>
          <w:sz w:val="36"/>
          <w:szCs w:val="36"/>
          <w:highlight w:val="none"/>
          <w:lang w:eastAsia="zh-CN"/>
        </w:rPr>
      </w:pPr>
      <w:bookmarkStart w:id="241" w:name="_Toc16815"/>
      <w:bookmarkStart w:id="242" w:name="_Toc23189"/>
      <w:bookmarkStart w:id="243" w:name="_Toc6652"/>
      <w:r>
        <w:rPr>
          <w:rFonts w:hint="eastAsia" w:ascii="宋体" w:hAnsi="宋体" w:eastAsia="宋体" w:cs="宋体"/>
          <w:sz w:val="36"/>
          <w:szCs w:val="36"/>
          <w:highlight w:val="none"/>
          <w:lang w:eastAsia="zh-CN"/>
        </w:rPr>
        <w:t>★开标一览表</w:t>
      </w:r>
      <w:bookmarkEnd w:id="241"/>
      <w:bookmarkEnd w:id="242"/>
      <w:bookmarkEnd w:id="243"/>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right"/>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货币单位：人民币元</w:t>
      </w:r>
    </w:p>
    <w:tbl>
      <w:tblPr>
        <w:tblStyle w:val="18"/>
        <w:tblW w:w="8712"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77"/>
        <w:gridCol w:w="4335"/>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377" w:type="dxa"/>
            <w:tcBorders>
              <w:right w:val="single" w:color="666666" w:sz="2" w:space="0"/>
            </w:tcBorders>
            <w:shd w:val="clear" w:color="auto" w:fill="FFFFFF"/>
            <w:tcMar>
              <w:top w:w="38" w:type="dxa"/>
              <w:left w:w="38"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普通大米报价金额(元/吨)</w:t>
            </w:r>
          </w:p>
        </w:tc>
        <w:tc>
          <w:tcPr>
            <w:tcW w:w="4335" w:type="dxa"/>
            <w:tcBorders>
              <w:left w:val="single" w:color="666666" w:sz="2" w:space="0"/>
              <w:right w:val="single" w:color="666666" w:sz="2" w:space="0"/>
            </w:tcBorders>
            <w:shd w:val="clear" w:color="auto" w:fill="FFFFFF"/>
            <w:tcMar>
              <w:top w:w="38" w:type="dxa"/>
              <w:left w:w="34"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 xml:space="preserve">__________ </w:t>
            </w:r>
          </w:p>
        </w:tc>
      </w:tr>
    </w:tbl>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val="en" w:eastAsia="zh-CN"/>
        </w:rPr>
      </w:pPr>
      <w:r>
        <w:rPr>
          <w:rFonts w:hint="eastAsia" w:ascii="宋体" w:hAnsi="宋体" w:eastAsia="宋体" w:cs="宋体"/>
          <w:highlight w:val="none"/>
          <w:lang w:val="en"/>
        </w:rPr>
        <w:t>填报要求:</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val="en"/>
        </w:rPr>
        <w:t>1.</w:t>
      </w:r>
      <w:r>
        <w:rPr>
          <w:rFonts w:hint="eastAsia" w:ascii="宋体" w:hAnsi="宋体" w:eastAsia="宋体" w:cs="宋体"/>
          <w:highlight w:val="none"/>
          <w:lang w:val="en" w:eastAsia="zh-CN"/>
        </w:rPr>
        <w:t>总报价包含</w:t>
      </w:r>
      <w:r>
        <w:rPr>
          <w:rFonts w:hint="eastAsia" w:ascii="宋体" w:hAnsi="宋体" w:eastAsia="宋体" w:cs="宋体"/>
          <w:highlight w:val="none"/>
          <w:lang w:eastAsia="zh-CN"/>
        </w:rPr>
        <w:t>广州农村产权交易所有限公司</w:t>
      </w:r>
      <w:r>
        <w:rPr>
          <w:rFonts w:hint="eastAsia" w:ascii="宋体" w:hAnsi="宋体" w:eastAsia="宋体" w:cs="宋体"/>
          <w:highlight w:val="none"/>
          <w:lang w:val="en" w:eastAsia="zh-CN"/>
        </w:rPr>
        <w:t>交易服务费等所有税费。</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 </w:t>
      </w:r>
    </w:p>
    <w:p>
      <w:pPr>
        <w:pStyle w:val="3"/>
        <w:bidi w:val="0"/>
        <w:jc w:val="center"/>
        <w:rPr>
          <w:rFonts w:hint="eastAsia" w:ascii="宋体" w:hAnsi="宋体" w:eastAsia="宋体" w:cs="宋体"/>
          <w:sz w:val="36"/>
          <w:szCs w:val="36"/>
          <w:highlight w:val="none"/>
          <w:lang w:eastAsia="zh-CN"/>
        </w:rPr>
      </w:pPr>
      <w:bookmarkStart w:id="244" w:name="_Toc12692"/>
      <w:bookmarkStart w:id="245" w:name="_Toc23370"/>
      <w:bookmarkStart w:id="246" w:name="_Toc15940"/>
      <w:r>
        <w:rPr>
          <w:rFonts w:hint="eastAsia" w:ascii="宋体" w:hAnsi="宋体" w:eastAsia="宋体" w:cs="宋体"/>
          <w:sz w:val="36"/>
          <w:szCs w:val="36"/>
          <w:highlight w:val="none"/>
          <w:lang w:eastAsia="zh-CN"/>
        </w:rPr>
        <w:t>★法定代表人证明书</w:t>
      </w:r>
      <w:bookmarkEnd w:id="244"/>
      <w:bookmarkEnd w:id="245"/>
      <w:bookmarkEnd w:id="246"/>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u w:val="single"/>
          <w:lang w:eastAsia="zh-CN"/>
        </w:rPr>
        <w:t xml:space="preserve">              </w:t>
      </w:r>
      <w:r>
        <w:rPr>
          <w:rFonts w:hint="eastAsia" w:ascii="宋体" w:hAnsi="宋体" w:eastAsia="宋体" w:cs="宋体"/>
          <w:highlight w:val="none"/>
          <w:lang w:eastAsia="zh-CN"/>
        </w:rPr>
        <w:t>（身份证号码：</w:t>
      </w:r>
      <w:r>
        <w:rPr>
          <w:rFonts w:hint="eastAsia" w:ascii="宋体" w:hAnsi="宋体" w:eastAsia="宋体" w:cs="宋体"/>
          <w:highlight w:val="none"/>
          <w:u w:val="single"/>
          <w:lang w:eastAsia="zh-CN"/>
        </w:rPr>
        <w:t xml:space="preserve">                         </w:t>
      </w:r>
      <w:r>
        <w:rPr>
          <w:rFonts w:hint="eastAsia" w:ascii="宋体" w:hAnsi="宋体" w:eastAsia="宋体" w:cs="宋体"/>
          <w:highlight w:val="none"/>
          <w:lang w:eastAsia="zh-CN"/>
        </w:rPr>
        <w:t>）在我方（或者企业、单位）任</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eastAsia="zh-CN"/>
        </w:rPr>
        <w:t>职务，是我公司（或者企业、单位）的法定代表人/负责人。</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特此证明。</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5040" w:firstLineChars="21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供应商名称（单位公章）：</w:t>
      </w:r>
    </w:p>
    <w:p>
      <w:pPr>
        <w:keepNext w:val="0"/>
        <w:keepLines w:val="0"/>
        <w:pageBreakBefore w:val="0"/>
        <w:widowControl/>
        <w:kinsoku/>
        <w:wordWrap/>
        <w:overflowPunct/>
        <w:topLinePunct w:val="0"/>
        <w:autoSpaceDE/>
        <w:autoSpaceDN/>
        <w:bidi w:val="0"/>
        <w:adjustRightInd/>
        <w:snapToGrid/>
        <w:spacing w:line="300" w:lineRule="auto"/>
        <w:ind w:firstLine="5040" w:firstLineChars="21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日期：   年   月   日</w:t>
      </w:r>
    </w:p>
    <w:p>
      <w:pPr>
        <w:keepNext w:val="0"/>
        <w:keepLines w:val="0"/>
        <w:pageBreakBefore w:val="0"/>
        <w:widowControl/>
        <w:kinsoku/>
        <w:wordWrap/>
        <w:overflowPunct/>
        <w:topLinePunct w:val="0"/>
        <w:autoSpaceDE/>
        <w:autoSpaceDN/>
        <w:bidi w:val="0"/>
        <w:adjustRightInd/>
        <w:snapToGrid/>
        <w:spacing w:line="300" w:lineRule="auto"/>
        <w:ind w:firstLine="6480" w:firstLineChars="27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6480" w:firstLineChars="27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说明：</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说明：由法定代表人参加协商的，协商时提交本证明书 (盖单位公章) 及法定代表人身份证原件。可使用上述格式，也可使用工商部门统一印制的法定代表人证明书格式。</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法人身份证复印件：</w:t>
      </w:r>
    </w:p>
    <w:tbl>
      <w:tblPr>
        <w:tblStyle w:val="3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人像面：</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国徽面：</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tc>
      </w:tr>
    </w:tbl>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p>
    <w:p>
      <w:pPr>
        <w:pStyle w:val="3"/>
        <w:bidi w:val="0"/>
        <w:jc w:val="center"/>
        <w:rPr>
          <w:rFonts w:hint="eastAsia" w:ascii="宋体" w:hAnsi="宋体" w:eastAsia="宋体" w:cs="宋体"/>
          <w:sz w:val="36"/>
          <w:szCs w:val="36"/>
          <w:highlight w:val="none"/>
          <w:lang w:eastAsia="zh-CN"/>
        </w:rPr>
      </w:pPr>
      <w:bookmarkStart w:id="247" w:name="_Toc16393"/>
      <w:bookmarkStart w:id="248" w:name="_Toc25893"/>
      <w:bookmarkStart w:id="249" w:name="_Toc6423"/>
      <w:r>
        <w:rPr>
          <w:rFonts w:hint="eastAsia" w:ascii="宋体" w:hAnsi="宋体" w:eastAsia="宋体" w:cs="宋体"/>
          <w:sz w:val="36"/>
          <w:szCs w:val="36"/>
          <w:highlight w:val="none"/>
          <w:lang w:eastAsia="zh-CN"/>
        </w:rPr>
        <w:t>授权委托证明书</w:t>
      </w:r>
      <w:bookmarkEnd w:id="247"/>
      <w:bookmarkEnd w:id="248"/>
      <w:bookmarkEnd w:id="249"/>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兹授权</w:t>
      </w:r>
      <w:r>
        <w:rPr>
          <w:rFonts w:hint="eastAsia" w:ascii="宋体" w:hAnsi="宋体" w:eastAsia="宋体" w:cs="宋体"/>
          <w:highlight w:val="none"/>
          <w:u w:val="single"/>
          <w:lang w:eastAsia="zh-CN"/>
        </w:rPr>
        <w:t xml:space="preserve">                  </w:t>
      </w:r>
      <w:r>
        <w:rPr>
          <w:rFonts w:hint="eastAsia" w:ascii="宋体" w:hAnsi="宋体" w:eastAsia="宋体" w:cs="宋体"/>
          <w:highlight w:val="none"/>
          <w:lang w:eastAsia="zh-CN"/>
        </w:rPr>
        <w:t>（委托代理人姓名）为我方委托代理人，其权限是：办理广州农村产权交易所有限公司组织的“</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none"/>
          <w:lang w:val="en-US" w:eastAsia="zh-CN"/>
        </w:rPr>
        <w:t xml:space="preserve"> </w:t>
      </w:r>
      <w:r>
        <w:rPr>
          <w:rFonts w:hint="eastAsia" w:ascii="宋体" w:hAnsi="宋体" w:eastAsia="宋体" w:cs="宋体"/>
          <w:highlight w:val="yellow"/>
          <w:lang w:val="en-US" w:eastAsia="zh-CN"/>
        </w:rPr>
        <w:t>LW2022LS10004D</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)的协商事宜，其现场所签署确认的文件均代表我方的真实意思和决定，并作为响应文件的补充内容具有不可撤消更改的法律效力。本授权书有效期与我方响应文件中标注的报价有效期相同。</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附：代理人性别：       年龄：        职务：               </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身份证号码：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5040" w:firstLineChars="21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日期： 20  年   月   日</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说明：委托代理人参加协商的，协商时提交本证明书及委托代理人身份证原件参加协商；法定代表人委托代理人参加协商的，证明书加盖单位公章；自然人委托代理人参加协商的，证明书由自然人签字。</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受托人复印件：</w:t>
      </w:r>
    </w:p>
    <w:tbl>
      <w:tblPr>
        <w:tblStyle w:val="3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人像面：</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国徽面：</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tc>
      </w:tr>
    </w:tbl>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p>
    <w:p>
      <w:pPr>
        <w:pStyle w:val="3"/>
        <w:bidi w:val="0"/>
        <w:jc w:val="center"/>
        <w:rPr>
          <w:rFonts w:hint="eastAsia" w:ascii="宋体" w:hAnsi="宋体" w:eastAsia="宋体" w:cs="宋体"/>
          <w:sz w:val="36"/>
          <w:szCs w:val="36"/>
          <w:highlight w:val="none"/>
          <w:lang w:eastAsia="zh-CN"/>
        </w:rPr>
      </w:pPr>
      <w:bookmarkStart w:id="250" w:name="_Toc31018"/>
      <w:bookmarkStart w:id="251" w:name="_Toc7273"/>
      <w:bookmarkStart w:id="252" w:name="_Toc18308"/>
      <w:r>
        <w:rPr>
          <w:rFonts w:hint="eastAsia" w:ascii="宋体" w:hAnsi="宋体" w:eastAsia="宋体" w:cs="宋体"/>
          <w:sz w:val="36"/>
          <w:szCs w:val="36"/>
          <w:highlight w:val="none"/>
          <w:lang w:eastAsia="zh-CN"/>
        </w:rPr>
        <w:t>总公司响应授权书（分支机构适用）</w:t>
      </w:r>
      <w:bookmarkEnd w:id="250"/>
      <w:bookmarkEnd w:id="251"/>
      <w:bookmarkEnd w:id="252"/>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广州市荔湾区发展和改革局/广州农村产权交易所有限公司：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(法定代表人姓名）系（总公司/总所名称）的法定代表人，现授权 （分支机构名称）为我方合法委托代理人参加“</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none"/>
          <w:lang w:val="en-US" w:eastAsia="zh-CN"/>
        </w:rPr>
        <w:t xml:space="preserve"> </w:t>
      </w:r>
      <w:r>
        <w:rPr>
          <w:rFonts w:hint="eastAsia" w:ascii="宋体" w:hAnsi="宋体" w:eastAsia="宋体" w:cs="宋体"/>
          <w:highlight w:val="yellow"/>
          <w:lang w:val="en-US" w:eastAsia="zh-CN"/>
        </w:rPr>
        <w:t>LW2022LS10004D</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的单一来源采购活动。该分公司的授权代表在本单一来源采购活动过程中所签署的一切文件和处理与之有关的一切事务，均代表我方的行为，与本人的行为具有同等的法律效力。我方将承担授权代表行为的一切法律责任后果。</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本授权书于  年  月  日签字生效，代理人无转委托权。</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授权人：（总公司/总所名称）（盖章）</w:t>
      </w:r>
    </w:p>
    <w:p>
      <w:pPr>
        <w:keepNext w:val="0"/>
        <w:keepLines w:val="0"/>
        <w:pageBreakBefore w:val="0"/>
        <w:widowControl/>
        <w:kinsoku/>
        <w:wordWrap/>
        <w:overflowPunct/>
        <w:topLinePunct w:val="0"/>
        <w:autoSpaceDE/>
        <w:autoSpaceDN/>
        <w:bidi w:val="0"/>
        <w:adjustRightInd/>
        <w:snapToGrid/>
        <w:spacing w:line="300" w:lineRule="auto"/>
        <w:ind w:left="4320" w:hanging="4320" w:hangingChars="18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法定代表人：      （签字）</w:t>
      </w:r>
    </w:p>
    <w:p>
      <w:pPr>
        <w:keepNext w:val="0"/>
        <w:keepLines w:val="0"/>
        <w:pageBreakBefore w:val="0"/>
        <w:widowControl/>
        <w:kinsoku/>
        <w:wordWrap/>
        <w:overflowPunct/>
        <w:topLinePunct w:val="0"/>
        <w:autoSpaceDE/>
        <w:autoSpaceDN/>
        <w:bidi w:val="0"/>
        <w:adjustRightInd/>
        <w:snapToGrid/>
        <w:spacing w:line="300" w:lineRule="auto"/>
        <w:ind w:left="5760" w:hanging="5760" w:hangingChars="2400"/>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 xml:space="preserve">年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 xml:space="preserve"> 月</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 xml:space="preserve"> 日</w:t>
      </w:r>
    </w:p>
    <w:p>
      <w:pPr>
        <w:pStyle w:val="3"/>
        <w:bidi w:val="0"/>
        <w:jc w:val="center"/>
        <w:rPr>
          <w:rFonts w:hint="eastAsia" w:ascii="宋体" w:hAnsi="宋体" w:eastAsia="宋体" w:cs="宋体"/>
          <w:sz w:val="36"/>
          <w:szCs w:val="36"/>
          <w:highlight w:val="none"/>
          <w:lang w:eastAsia="zh-CN"/>
        </w:rPr>
      </w:pPr>
      <w:bookmarkStart w:id="253" w:name="_Toc18115"/>
      <w:bookmarkStart w:id="254" w:name="_Toc26574"/>
      <w:bookmarkStart w:id="255" w:name="_Toc16604"/>
      <w:r>
        <w:rPr>
          <w:rFonts w:hint="eastAsia" w:ascii="宋体" w:hAnsi="宋体" w:eastAsia="宋体" w:cs="宋体"/>
          <w:sz w:val="36"/>
          <w:szCs w:val="36"/>
          <w:highlight w:val="none"/>
          <w:lang w:eastAsia="zh-CN"/>
        </w:rPr>
        <w:t>★实质性响应条款一览表</w:t>
      </w:r>
      <w:bookmarkEnd w:id="253"/>
      <w:bookmarkEnd w:id="254"/>
      <w:bookmarkEnd w:id="255"/>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yellow"/>
          <w:lang w:eastAsia="zh-CN"/>
        </w:rPr>
      </w:pPr>
      <w:r>
        <w:rPr>
          <w:rFonts w:hint="eastAsia" w:ascii="宋体" w:hAnsi="宋体" w:eastAsia="宋体" w:cs="宋体"/>
          <w:highlight w:val="none"/>
          <w:lang w:eastAsia="zh-CN"/>
        </w:rPr>
        <w:t>项目名称：</w:t>
      </w:r>
      <w:r>
        <w:rPr>
          <w:rFonts w:hint="eastAsia" w:ascii="宋体" w:hAnsi="宋体" w:eastAsia="宋体" w:cs="宋体"/>
          <w:highlight w:val="yellow"/>
          <w:lang w:eastAsia="zh-CN"/>
        </w:rPr>
        <w:t>2022年广州市荔湾区级储备粮承储招标项目（三次）</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rPr>
        <w:t>项目编号：</w:t>
      </w:r>
      <w:r>
        <w:rPr>
          <w:rFonts w:hint="eastAsia" w:ascii="宋体" w:hAnsi="宋体" w:eastAsia="宋体" w:cs="宋体"/>
          <w:highlight w:val="yellow"/>
        </w:rPr>
        <w:t>LW2022LS10004D</w:t>
      </w:r>
    </w:p>
    <w:tbl>
      <w:tblPr>
        <w:tblStyle w:val="18"/>
        <w:tblW w:w="9016"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3"/>
        <w:gridCol w:w="3827"/>
        <w:gridCol w:w="2173"/>
        <w:gridCol w:w="2173"/>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序号</w:t>
            </w:r>
          </w:p>
        </w:tc>
        <w:tc>
          <w:tcPr>
            <w:tcW w:w="3827"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实质性响应条款</w:t>
            </w:r>
          </w:p>
        </w:tc>
        <w:tc>
          <w:tcPr>
            <w:tcW w:w="2173"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lang w:eastAsia="zh-CN"/>
              </w:rPr>
              <w:t>供应商</w:t>
            </w:r>
            <w:r>
              <w:rPr>
                <w:rFonts w:hint="eastAsia" w:ascii="宋体" w:hAnsi="宋体" w:eastAsia="宋体" w:cs="宋体"/>
                <w:highlight w:val="none"/>
              </w:rPr>
              <w:t>响应情况</w:t>
            </w:r>
          </w:p>
        </w:tc>
        <w:tc>
          <w:tcPr>
            <w:tcW w:w="2173"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差异</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1</w:t>
            </w: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★如协商小组没有对协商文件作实质性变动增加新的需求，最后报价不得高于首次报价。</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★协商小组认为供应商不能证明其报价合理性的，或有可能影响产品质量或者不能诚信履约的，应当将其作为无效响应处理。</w:t>
            </w: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报价说明：</w:t>
            </w: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2</w:t>
            </w: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以下内容根据协商文件★号条款和采购需求详细列举</w:t>
            </w: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w:t>
            </w: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3827"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43" w:type="dxa"/>
            <w:tcBorders>
              <w:top w:val="single" w:color="666666" w:sz="2" w:space="0"/>
              <w:right w:val="single" w:color="666666" w:sz="2" w:space="0"/>
            </w:tcBorders>
            <w:shd w:val="clear" w:color="auto" w:fill="FFFFFF"/>
            <w:tcMar>
              <w:top w:w="34" w:type="dxa"/>
              <w:left w:w="38"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3827"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c>
          <w:tcPr>
            <w:tcW w:w="2173"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p>
        </w:tc>
      </w:tr>
    </w:tbl>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rPr>
      </w:pPr>
      <w:r>
        <w:rPr>
          <w:rFonts w:hint="eastAsia" w:ascii="宋体" w:hAnsi="宋体" w:eastAsia="宋体" w:cs="宋体"/>
          <w:highlight w:val="none"/>
        </w:rPr>
        <w:t>说明：</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1、</w:t>
      </w:r>
      <w:r>
        <w:rPr>
          <w:rFonts w:hint="eastAsia" w:ascii="宋体" w:hAnsi="宋体" w:eastAsia="宋体" w:cs="宋体"/>
          <w:highlight w:val="none"/>
          <w:lang w:eastAsia="zh-CN"/>
        </w:rPr>
        <w:t>本表所列条款必须一一予以响应，“供应商响应情况”一栏应</w:t>
      </w:r>
      <w:r>
        <w:rPr>
          <w:rFonts w:hint="eastAsia" w:ascii="宋体" w:hAnsi="宋体" w:eastAsia="宋体" w:cs="宋体"/>
          <w:b/>
          <w:bCs/>
          <w:highlight w:val="none"/>
          <w:lang w:eastAsia="zh-CN"/>
        </w:rPr>
        <w:t>填写具体的响应内容，有差异的</w:t>
      </w:r>
      <w:r>
        <w:rPr>
          <w:rFonts w:hint="eastAsia" w:ascii="宋体" w:hAnsi="宋体" w:eastAsia="宋体" w:cs="宋体"/>
          <w:highlight w:val="none"/>
          <w:lang w:eastAsia="zh-CN"/>
        </w:rPr>
        <w:t>要具体说明，如无差异可填写“无差异”或留空。</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val="en-US" w:eastAsia="zh-CN"/>
        </w:rPr>
        <w:t>2、</w:t>
      </w:r>
      <w:r>
        <w:rPr>
          <w:rFonts w:hint="eastAsia" w:ascii="宋体" w:hAnsi="宋体" w:eastAsia="宋体" w:cs="宋体"/>
          <w:highlight w:val="none"/>
          <w:lang w:eastAsia="zh-CN"/>
        </w:rPr>
        <w:t>请供应商认真填写本表内容，如填写错误将可能导致响应无效。</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1440" w:firstLineChars="6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供应商名称（单位公章）：</w:t>
      </w:r>
    </w:p>
    <w:p>
      <w:pPr>
        <w:keepNext w:val="0"/>
        <w:keepLines w:val="0"/>
        <w:pageBreakBefore w:val="0"/>
        <w:widowControl/>
        <w:kinsoku/>
        <w:wordWrap/>
        <w:overflowPunct/>
        <w:topLinePunct w:val="0"/>
        <w:autoSpaceDE/>
        <w:autoSpaceDN/>
        <w:bidi w:val="0"/>
        <w:adjustRightInd/>
        <w:snapToGrid/>
        <w:spacing w:line="300" w:lineRule="auto"/>
        <w:ind w:firstLine="1440" w:firstLineChars="6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法定代表人/负责人/委托代理人（签字或盖章）：</w:t>
      </w:r>
    </w:p>
    <w:p>
      <w:pPr>
        <w:keepNext w:val="0"/>
        <w:keepLines w:val="0"/>
        <w:pageBreakBefore w:val="0"/>
        <w:widowControl/>
        <w:kinsoku/>
        <w:wordWrap/>
        <w:overflowPunct/>
        <w:topLinePunct w:val="0"/>
        <w:autoSpaceDE/>
        <w:autoSpaceDN/>
        <w:bidi w:val="0"/>
        <w:adjustRightInd/>
        <w:snapToGrid/>
        <w:spacing w:line="300" w:lineRule="auto"/>
        <w:ind w:firstLine="6000" w:firstLineChars="2500"/>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日期：    年   月   日</w:t>
      </w:r>
    </w:p>
    <w:p>
      <w:pPr>
        <w:pStyle w:val="3"/>
        <w:bidi w:val="0"/>
        <w:jc w:val="center"/>
        <w:rPr>
          <w:rFonts w:hint="eastAsia" w:ascii="宋体" w:hAnsi="宋体" w:eastAsia="宋体" w:cs="宋体"/>
          <w:sz w:val="36"/>
          <w:szCs w:val="36"/>
          <w:highlight w:val="none"/>
          <w:lang w:eastAsia="zh-CN"/>
        </w:rPr>
      </w:pPr>
      <w:bookmarkStart w:id="256" w:name="_Toc3511"/>
      <w:bookmarkStart w:id="257" w:name="_Toc14701"/>
      <w:bookmarkStart w:id="258" w:name="_Toc21161"/>
      <w:r>
        <w:rPr>
          <w:rFonts w:hint="eastAsia" w:ascii="宋体" w:hAnsi="宋体" w:eastAsia="宋体" w:cs="宋体"/>
          <w:sz w:val="36"/>
          <w:szCs w:val="36"/>
          <w:highlight w:val="none"/>
          <w:lang w:eastAsia="zh-CN"/>
        </w:rPr>
        <w:t>★粮库的产权证明或当地县（区）级粮食行政主管部门开具的使用权证明</w:t>
      </w:r>
      <w:bookmarkEnd w:id="256"/>
      <w:bookmarkEnd w:id="257"/>
      <w:bookmarkEnd w:id="258"/>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（请提供相关证明）</w:t>
      </w:r>
    </w:p>
    <w:p>
      <w:pPr>
        <w:pStyle w:val="3"/>
        <w:bidi w:val="0"/>
        <w:jc w:val="center"/>
        <w:rPr>
          <w:rFonts w:hint="eastAsia" w:ascii="宋体" w:hAnsi="宋体" w:eastAsia="宋体" w:cs="宋体"/>
          <w:sz w:val="36"/>
          <w:szCs w:val="36"/>
          <w:highlight w:val="none"/>
          <w:lang w:eastAsia="zh-CN"/>
        </w:rPr>
      </w:pPr>
      <w:bookmarkStart w:id="259" w:name="_Toc12462"/>
      <w:bookmarkStart w:id="260" w:name="_Toc23607"/>
      <w:bookmarkStart w:id="261" w:name="_Toc31233"/>
      <w:r>
        <w:rPr>
          <w:rFonts w:hint="eastAsia" w:ascii="宋体" w:hAnsi="宋体" w:eastAsia="宋体" w:cs="宋体"/>
          <w:sz w:val="36"/>
          <w:szCs w:val="36"/>
          <w:highlight w:val="none"/>
          <w:lang w:eastAsia="zh-CN"/>
        </w:rPr>
        <w:t>★广东省粮油仓储单位备案管理登记证或广东省粮油企业管理系统备案证明</w:t>
      </w:r>
      <w:bookmarkEnd w:id="259"/>
      <w:bookmarkEnd w:id="260"/>
      <w:bookmarkEnd w:id="261"/>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（请提供相关证明）</w:t>
      </w:r>
    </w:p>
    <w:p>
      <w:pPr>
        <w:pStyle w:val="3"/>
        <w:bidi w:val="0"/>
        <w:jc w:val="center"/>
        <w:rPr>
          <w:rFonts w:hint="eastAsia" w:ascii="宋体" w:hAnsi="宋体" w:eastAsia="宋体" w:cs="宋体"/>
          <w:sz w:val="36"/>
          <w:szCs w:val="36"/>
          <w:highlight w:val="none"/>
          <w:lang w:eastAsia="zh-CN"/>
        </w:rPr>
      </w:pPr>
      <w:bookmarkStart w:id="262" w:name="_Toc2852"/>
      <w:bookmarkStart w:id="263" w:name="_Toc5951"/>
      <w:bookmarkStart w:id="264" w:name="_Toc6493"/>
      <w:r>
        <w:rPr>
          <w:rFonts w:hint="eastAsia" w:ascii="宋体" w:hAnsi="宋体" w:eastAsia="宋体" w:cs="宋体"/>
          <w:sz w:val="36"/>
          <w:szCs w:val="36"/>
          <w:highlight w:val="none"/>
          <w:lang w:eastAsia="zh-CN"/>
        </w:rPr>
        <w:t>★供应商在中国农业发展银行广东省分行营业部（含下属支行）开设基本账户或一般存款账户的证明文件</w:t>
      </w:r>
      <w:bookmarkEnd w:id="262"/>
      <w:bookmarkEnd w:id="263"/>
      <w:bookmarkEnd w:id="264"/>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（请提供相关证明）</w:t>
      </w:r>
    </w:p>
    <w:p>
      <w:pPr>
        <w:pStyle w:val="3"/>
        <w:bidi w:val="0"/>
        <w:jc w:val="center"/>
        <w:rPr>
          <w:rFonts w:hint="eastAsia" w:ascii="宋体" w:hAnsi="宋体" w:eastAsia="宋体" w:cs="宋体"/>
          <w:sz w:val="36"/>
          <w:szCs w:val="36"/>
          <w:highlight w:val="none"/>
          <w:lang w:eastAsia="zh-CN"/>
        </w:rPr>
      </w:pPr>
      <w:bookmarkStart w:id="265" w:name="_Toc20591"/>
      <w:bookmarkStart w:id="266" w:name="_Toc26762"/>
      <w:bookmarkStart w:id="267" w:name="_Toc27999"/>
      <w:r>
        <w:rPr>
          <w:rFonts w:hint="eastAsia" w:ascii="宋体" w:hAnsi="宋体" w:eastAsia="宋体" w:cs="宋体"/>
          <w:sz w:val="36"/>
          <w:szCs w:val="36"/>
          <w:highlight w:val="none"/>
          <w:lang w:eastAsia="zh-CN"/>
        </w:rPr>
        <w:t>★供应商在中国农业发展银行信用等级达到BBB+级或以上的证明</w:t>
      </w:r>
      <w:bookmarkEnd w:id="265"/>
      <w:bookmarkEnd w:id="266"/>
      <w:bookmarkEnd w:id="267"/>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（提供中国农业发展银行分支机构出具的相关证明）</w:t>
      </w:r>
    </w:p>
    <w:p>
      <w:pPr>
        <w:pStyle w:val="3"/>
        <w:bidi w:val="0"/>
        <w:jc w:val="center"/>
        <w:rPr>
          <w:rFonts w:hint="eastAsia" w:ascii="宋体" w:hAnsi="宋体" w:eastAsia="宋体" w:cs="宋体"/>
          <w:sz w:val="36"/>
          <w:szCs w:val="36"/>
          <w:highlight w:val="none"/>
          <w:lang w:eastAsia="zh-CN"/>
        </w:rPr>
      </w:pPr>
      <w:bookmarkStart w:id="268" w:name="_Toc26566"/>
      <w:bookmarkStart w:id="269" w:name="_Toc11225"/>
      <w:bookmarkStart w:id="270" w:name="_Toc32451"/>
      <w:r>
        <w:rPr>
          <w:rFonts w:hint="eastAsia" w:ascii="宋体" w:hAnsi="宋体" w:eastAsia="宋体" w:cs="宋体"/>
          <w:sz w:val="36"/>
          <w:szCs w:val="36"/>
          <w:highlight w:val="none"/>
          <w:lang w:eastAsia="zh-CN"/>
        </w:rPr>
        <w:t>中小微企业证明材料（提供以下任一证明材料扫描件）：1中小企业声明函；2残疾人福利性单位声明函</w:t>
      </w:r>
      <w:bookmarkEnd w:id="268"/>
      <w:bookmarkEnd w:id="269"/>
      <w:bookmarkEnd w:id="270"/>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中小企业声明函（货物）</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本公司（联合体）郑重声明，根据《政府采购促进中小企业发展管理办法》（财库﹝2020﹞46 号）的规定，本公司（联合体）参加</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none"/>
          <w:lang w:val="en-US" w:eastAsia="zh-CN"/>
        </w:rPr>
        <w:t xml:space="preserve"> </w:t>
      </w:r>
      <w:r>
        <w:rPr>
          <w:rFonts w:hint="eastAsia" w:ascii="宋体" w:hAnsi="宋体" w:eastAsia="宋体" w:cs="宋体"/>
          <w:highlight w:val="yellow"/>
          <w:lang w:val="en-US" w:eastAsia="zh-CN"/>
        </w:rPr>
        <w:t>LW2022LS10004D</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)采购活动，提供的货物全部由符合政策要求的中小企业制造。相关企业（含联合体中的中小企业、签订分包意向协议的中小企业）的具体情况如下：</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1.（标的名称），属于（采购文件中明确的所属行业）行业；制造商为（企业名称），从业人员  人，营业收入为  万元，资产总额为  万元，属于（中型企业、小型企业、微型企业）；</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2. （标的名称），属于（采购文件中明确的所属行业）行业；制造商为（企业名称），从业人员  人，营业收入为  万元，资产总额为  万元，属于（中型企业、小型企业、微型企业）；</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320" w:firstLineChars="18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企业名称（盖章）：</w:t>
      </w:r>
    </w:p>
    <w:p>
      <w:pPr>
        <w:keepNext w:val="0"/>
        <w:keepLines w:val="0"/>
        <w:pageBreakBefore w:val="0"/>
        <w:widowControl/>
        <w:kinsoku/>
        <w:wordWrap/>
        <w:overflowPunct/>
        <w:topLinePunct w:val="0"/>
        <w:autoSpaceDE/>
        <w:autoSpaceDN/>
        <w:bidi w:val="0"/>
        <w:adjustRightInd/>
        <w:snapToGrid/>
        <w:spacing w:line="300" w:lineRule="auto"/>
        <w:ind w:firstLine="5760" w:firstLineChars="24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日期：20  年   月   日</w:t>
      </w:r>
    </w:p>
    <w:p>
      <w:pPr>
        <w:keepNext w:val="0"/>
        <w:keepLines w:val="0"/>
        <w:pageBreakBefore w:val="0"/>
        <w:widowControl/>
        <w:kinsoku/>
        <w:wordWrap/>
        <w:overflowPunct/>
        <w:topLinePunct w:val="0"/>
        <w:autoSpaceDE/>
        <w:autoSpaceDN/>
        <w:bidi w:val="0"/>
        <w:adjustRightInd/>
        <w:snapToGrid/>
        <w:spacing w:line="300" w:lineRule="auto"/>
        <w:ind w:firstLine="6240" w:firstLineChars="26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注：</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1.声明函内容不实的，按照提供虚假材料谋取中选、成交处理。</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2.从业人员、营业收入、资产总额填报上一年度数据，无上一年度数据的新成立企业可不填报。</w:t>
      </w:r>
    </w:p>
    <w:p>
      <w:pPr>
        <w:pStyle w:val="3"/>
        <w:bidi w:val="0"/>
        <w:jc w:val="center"/>
        <w:rPr>
          <w:rFonts w:hint="eastAsia" w:ascii="宋体" w:hAnsi="宋体" w:eastAsia="宋体" w:cs="宋体"/>
          <w:sz w:val="36"/>
          <w:szCs w:val="36"/>
          <w:highlight w:val="none"/>
          <w:lang w:eastAsia="zh-CN"/>
        </w:rPr>
      </w:pPr>
      <w:bookmarkStart w:id="271" w:name="_Toc15243"/>
      <w:r>
        <w:rPr>
          <w:rFonts w:hint="eastAsia" w:ascii="宋体" w:hAnsi="宋体" w:eastAsia="宋体" w:cs="宋体"/>
          <w:sz w:val="36"/>
          <w:szCs w:val="36"/>
          <w:highlight w:val="none"/>
          <w:lang w:eastAsia="zh-CN"/>
        </w:rPr>
        <w:t>残疾人福利性单位声明函</w:t>
      </w:r>
      <w:bookmarkEnd w:id="271"/>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none"/>
          <w:lang w:val="en-US" w:eastAsia="zh-CN"/>
        </w:rPr>
        <w:t xml:space="preserve"> </w:t>
      </w:r>
      <w:r>
        <w:rPr>
          <w:rFonts w:hint="eastAsia" w:ascii="宋体" w:hAnsi="宋体" w:eastAsia="宋体" w:cs="宋体"/>
          <w:highlight w:val="yellow"/>
          <w:lang w:val="en-US" w:eastAsia="zh-CN"/>
        </w:rPr>
        <w:t>LW2022LS10004D</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本单位对上述声明的真实性负责。如有虚假，将依法承担相应责任。</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left="5040" w:hanging="5040" w:hangingChars="2100"/>
        <w:jc w:val="both"/>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 xml:space="preserve">                 </w:t>
      </w:r>
      <w:r>
        <w:rPr>
          <w:rFonts w:hint="eastAsia" w:ascii="宋体" w:hAnsi="宋体" w:eastAsia="宋体" w:cs="宋体"/>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ind w:left="5040" w:leftChars="1800" w:hanging="720" w:hangingChars="3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企业名称（盖章）：</w:t>
      </w:r>
    </w:p>
    <w:p>
      <w:pPr>
        <w:keepNext w:val="0"/>
        <w:keepLines w:val="0"/>
        <w:pageBreakBefore w:val="0"/>
        <w:widowControl/>
        <w:kinsoku/>
        <w:wordWrap/>
        <w:overflowPunct/>
        <w:topLinePunct w:val="0"/>
        <w:autoSpaceDE/>
        <w:autoSpaceDN/>
        <w:bidi w:val="0"/>
        <w:adjustRightInd/>
        <w:snapToGrid/>
        <w:spacing w:line="300" w:lineRule="auto"/>
        <w:ind w:left="5760" w:hanging="5760" w:hangingChars="2400"/>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 xml:space="preserve">    日期：20  年   月   日</w:t>
      </w:r>
    </w:p>
    <w:p>
      <w:pPr>
        <w:pStyle w:val="3"/>
        <w:bidi w:val="0"/>
        <w:jc w:val="center"/>
        <w:rPr>
          <w:rFonts w:hint="eastAsia" w:ascii="宋体" w:hAnsi="宋体" w:eastAsia="宋体" w:cs="宋体"/>
          <w:sz w:val="36"/>
          <w:szCs w:val="36"/>
          <w:highlight w:val="none"/>
          <w:lang w:eastAsia="zh-CN"/>
        </w:rPr>
      </w:pPr>
      <w:bookmarkStart w:id="272" w:name="_Toc1575"/>
      <w:bookmarkStart w:id="273" w:name="_Toc9932"/>
      <w:bookmarkStart w:id="274" w:name="_Toc29483"/>
      <w:r>
        <w:rPr>
          <w:rFonts w:hint="eastAsia" w:ascii="宋体" w:hAnsi="宋体" w:eastAsia="宋体" w:cs="宋体"/>
          <w:sz w:val="36"/>
          <w:szCs w:val="36"/>
          <w:highlight w:val="none"/>
          <w:lang w:eastAsia="zh-CN"/>
        </w:rPr>
        <w:t>公平竞争承诺书</w:t>
      </w:r>
      <w:bookmarkEnd w:id="272"/>
      <w:bookmarkEnd w:id="273"/>
      <w:bookmarkEnd w:id="274"/>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我方郑重承诺：我方保证所提交的相关资质文件和证明材料的真实性，有良好的历史诚信记录，并将依法参与</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yellow"/>
          <w:lang w:eastAsia="zh-CN"/>
        </w:rPr>
        <w:t>LW2022LS10004D</w:t>
      </w:r>
      <w:r>
        <w:rPr>
          <w:rFonts w:hint="eastAsia" w:ascii="宋体" w:hAnsi="宋体" w:eastAsia="宋体" w:cs="宋体"/>
          <w:highlight w:val="none"/>
          <w:lang w:eastAsia="zh-CN"/>
        </w:rPr>
        <w:t>）的公平竞争，不以任何不正当行为谋取不当利益，否则承担相应的法律责任。</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特此承诺！</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3360" w:firstLineChars="1400"/>
        <w:jc w:val="both"/>
        <w:textAlignment w:val="auto"/>
        <w:rPr>
          <w:rFonts w:hint="eastAsia" w:ascii="宋体" w:hAnsi="宋体" w:eastAsia="宋体" w:cs="宋体"/>
          <w:highlight w:val="none"/>
          <w:lang w:eastAsia="zh-CN"/>
        </w:rPr>
      </w:pPr>
      <w:bookmarkStart w:id="275" w:name="_Toc3279_WPSOffice_Level1"/>
      <w:r>
        <w:rPr>
          <w:rFonts w:hint="eastAsia" w:ascii="宋体" w:hAnsi="宋体" w:eastAsia="宋体" w:cs="宋体"/>
          <w:highlight w:val="none"/>
          <w:lang w:eastAsia="zh-CN"/>
        </w:rPr>
        <w:t>法定代表人/授权代表（签名或盖章）：</w:t>
      </w:r>
      <w:bookmarkEnd w:id="275"/>
    </w:p>
    <w:p>
      <w:pPr>
        <w:keepNext w:val="0"/>
        <w:keepLines w:val="0"/>
        <w:pageBreakBefore w:val="0"/>
        <w:widowControl/>
        <w:kinsoku/>
        <w:wordWrap/>
        <w:overflowPunct/>
        <w:topLinePunct w:val="0"/>
        <w:autoSpaceDE/>
        <w:autoSpaceDN/>
        <w:bidi w:val="0"/>
        <w:adjustRightInd/>
        <w:snapToGrid/>
        <w:spacing w:line="300" w:lineRule="auto"/>
        <w:ind w:left="3360" w:hanging="3360" w:hangingChars="14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 xml:space="preserve">         </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 xml:space="preserve">  </w:t>
      </w:r>
      <w:bookmarkStart w:id="276" w:name="_Toc15298_WPSOffice_Level1"/>
      <w:r>
        <w:rPr>
          <w:rFonts w:hint="eastAsia" w:ascii="宋体" w:hAnsi="宋体" w:eastAsia="宋体" w:cs="宋体"/>
          <w:highlight w:val="none"/>
          <w:lang w:eastAsia="zh-CN"/>
        </w:rPr>
        <w:t>供应商名称（加盖公章）：</w:t>
      </w:r>
      <w:bookmarkEnd w:id="276"/>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5760" w:firstLineChars="2400"/>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日期：  年  月  日</w:t>
      </w:r>
    </w:p>
    <w:p>
      <w:pPr>
        <w:pStyle w:val="3"/>
        <w:bidi w:val="0"/>
        <w:jc w:val="center"/>
        <w:rPr>
          <w:rFonts w:hint="eastAsia" w:ascii="宋体" w:hAnsi="宋体" w:eastAsia="宋体" w:cs="宋体"/>
          <w:sz w:val="36"/>
          <w:szCs w:val="36"/>
          <w:highlight w:val="none"/>
          <w:lang w:eastAsia="zh-CN"/>
        </w:rPr>
      </w:pPr>
      <w:bookmarkStart w:id="277" w:name="_Toc13944"/>
      <w:bookmarkStart w:id="278" w:name="_Toc15926"/>
      <w:bookmarkStart w:id="279" w:name="_Toc25325"/>
      <w:r>
        <w:rPr>
          <w:rFonts w:hint="eastAsia" w:ascii="宋体" w:hAnsi="宋体" w:eastAsia="宋体" w:cs="宋体"/>
          <w:sz w:val="36"/>
          <w:szCs w:val="36"/>
          <w:highlight w:val="none"/>
          <w:lang w:eastAsia="zh-CN"/>
        </w:rPr>
        <w:t>代理服务费承诺书</w:t>
      </w:r>
      <w:bookmarkEnd w:id="277"/>
      <w:bookmarkEnd w:id="278"/>
      <w:bookmarkEnd w:id="279"/>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广州农村产权交易所有限公司:</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我方如被确定为</w:t>
      </w:r>
      <w:r>
        <w:rPr>
          <w:rFonts w:hint="eastAsia" w:ascii="宋体" w:hAnsi="宋体" w:eastAsia="宋体" w:cs="宋体"/>
          <w:highlight w:val="yellow"/>
          <w:lang w:eastAsia="zh-CN"/>
        </w:rPr>
        <w:t>2022年广州市荔湾区级储备粮承储招标项目（三次）</w:t>
      </w:r>
      <w:r>
        <w:rPr>
          <w:rFonts w:hint="eastAsia" w:ascii="宋体" w:hAnsi="宋体" w:eastAsia="宋体" w:cs="宋体"/>
          <w:highlight w:val="none"/>
          <w:lang w:eastAsia="zh-CN"/>
        </w:rPr>
        <w:t>(项目编号：</w:t>
      </w:r>
      <w:r>
        <w:rPr>
          <w:rFonts w:hint="eastAsia" w:ascii="宋体" w:hAnsi="宋体" w:eastAsia="宋体" w:cs="宋体"/>
          <w:highlight w:val="yellow"/>
          <w:lang w:eastAsia="zh-CN"/>
        </w:rPr>
        <w:t>LW2022LS10004D</w:t>
      </w:r>
      <w:r>
        <w:rPr>
          <w:rFonts w:hint="eastAsia" w:ascii="宋体" w:hAnsi="宋体" w:eastAsia="宋体" w:cs="宋体"/>
          <w:highlight w:val="none"/>
          <w:lang w:eastAsia="zh-CN"/>
        </w:rPr>
        <w:t>)的成交供应商，保证按照响应文件规定缴纳代理服务费后自行下载《成交通知书》。</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如我方违反上款承诺，我方愿承担全部因此产生的法律责任。</w:t>
      </w: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特此承诺!</w:t>
      </w: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5280" w:firstLineChars="2200"/>
        <w:jc w:val="both"/>
        <w:textAlignment w:val="auto"/>
        <w:rPr>
          <w:rFonts w:hint="eastAsia" w:ascii="宋体" w:hAnsi="宋体" w:eastAsia="宋体" w:cs="宋体"/>
          <w:highlight w:val="none"/>
          <w:lang w:eastAsia="zh-CN"/>
        </w:rPr>
      </w:pPr>
    </w:p>
    <w:p>
      <w:pPr>
        <w:keepNext w:val="0"/>
        <w:keepLines w:val="0"/>
        <w:pageBreakBefore w:val="0"/>
        <w:widowControl/>
        <w:kinsoku/>
        <w:wordWrap/>
        <w:overflowPunct/>
        <w:topLinePunct w:val="0"/>
        <w:autoSpaceDE/>
        <w:autoSpaceDN/>
        <w:bidi w:val="0"/>
        <w:adjustRightInd/>
        <w:snapToGrid/>
        <w:spacing w:line="300" w:lineRule="auto"/>
        <w:ind w:firstLine="5040" w:firstLineChars="21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供应商名称(盖公章):</w:t>
      </w:r>
    </w:p>
    <w:p>
      <w:pPr>
        <w:keepNext w:val="0"/>
        <w:keepLines w:val="0"/>
        <w:pageBreakBefore w:val="0"/>
        <w:widowControl/>
        <w:kinsoku/>
        <w:wordWrap/>
        <w:overflowPunct/>
        <w:topLinePunct w:val="0"/>
        <w:autoSpaceDE/>
        <w:autoSpaceDN/>
        <w:bidi w:val="0"/>
        <w:adjustRightInd/>
        <w:snapToGrid/>
        <w:spacing w:line="300" w:lineRule="auto"/>
        <w:ind w:firstLine="6000" w:firstLineChars="25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供应商地址:</w:t>
      </w:r>
    </w:p>
    <w:p>
      <w:pPr>
        <w:keepNext w:val="0"/>
        <w:keepLines w:val="0"/>
        <w:pageBreakBefore w:val="0"/>
        <w:widowControl/>
        <w:kinsoku/>
        <w:wordWrap/>
        <w:overflowPunct/>
        <w:topLinePunct w:val="0"/>
        <w:autoSpaceDE/>
        <w:autoSpaceDN/>
        <w:bidi w:val="0"/>
        <w:adjustRightInd/>
        <w:snapToGrid/>
        <w:spacing w:line="300" w:lineRule="auto"/>
        <w:ind w:firstLine="6720" w:firstLineChars="28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电话:</w:t>
      </w:r>
    </w:p>
    <w:p>
      <w:pPr>
        <w:keepNext w:val="0"/>
        <w:keepLines w:val="0"/>
        <w:pageBreakBefore w:val="0"/>
        <w:widowControl/>
        <w:kinsoku/>
        <w:wordWrap/>
        <w:overflowPunct/>
        <w:topLinePunct w:val="0"/>
        <w:autoSpaceDE/>
        <w:autoSpaceDN/>
        <w:bidi w:val="0"/>
        <w:adjustRightInd/>
        <w:snapToGrid/>
        <w:spacing w:line="300" w:lineRule="auto"/>
        <w:ind w:firstLine="6720" w:firstLineChars="2800"/>
        <w:jc w:val="both"/>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传真:</w:t>
      </w:r>
    </w:p>
    <w:p>
      <w:pPr>
        <w:keepNext w:val="0"/>
        <w:keepLines w:val="0"/>
        <w:pageBreakBefore w:val="0"/>
        <w:widowControl/>
        <w:kinsoku/>
        <w:wordWrap/>
        <w:overflowPunct/>
        <w:topLinePunct w:val="0"/>
        <w:autoSpaceDE/>
        <w:autoSpaceDN/>
        <w:bidi w:val="0"/>
        <w:adjustRightInd/>
        <w:snapToGrid/>
        <w:spacing w:line="300" w:lineRule="auto"/>
        <w:ind w:firstLine="1680" w:firstLineChars="700"/>
        <w:jc w:val="both"/>
        <w:textAlignment w:val="auto"/>
        <w:rPr>
          <w:rFonts w:hint="default"/>
          <w:lang w:val="en-US" w:eastAsia="zh-CN"/>
        </w:rPr>
      </w:pPr>
      <w:r>
        <w:rPr>
          <w:rFonts w:hint="eastAsia" w:ascii="宋体" w:hAnsi="宋体" w:eastAsia="宋体" w:cs="宋体"/>
          <w:highlight w:val="none"/>
          <w:lang w:eastAsia="zh-CN"/>
        </w:rPr>
        <w:t>法定代表人/负责人或供应商授权代表（签名或盖章）：</w:t>
      </w:r>
      <w:r>
        <w:rPr>
          <w:rFonts w:hint="eastAsia" w:ascii="宋体" w:hAnsi="宋体" w:eastAsia="宋体" w:cs="宋体"/>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auto"/>
        <w:ind w:firstLine="6240" w:firstLineChars="2600"/>
        <w:jc w:val="both"/>
        <w:textAlignment w:val="auto"/>
        <w:rPr>
          <w:rFonts w:hint="eastAsia" w:ascii="宋体" w:hAnsi="宋体" w:eastAsia="宋体" w:cs="宋体"/>
          <w:highlight w:val="none"/>
          <w:lang w:eastAsia="zh-CN"/>
        </w:rPr>
        <w:sectPr>
          <w:pgSz w:w="12240" w:h="15840"/>
          <w:pgMar w:top="1440" w:right="1800" w:bottom="1440" w:left="1800" w:header="720" w:footer="720" w:gutter="0"/>
          <w:cols w:space="720" w:num="1"/>
        </w:sectPr>
      </w:pPr>
      <w:r>
        <w:rPr>
          <w:rFonts w:hint="eastAsia" w:ascii="宋体" w:hAnsi="宋体" w:eastAsia="宋体" w:cs="宋体"/>
          <w:highlight w:val="none"/>
          <w:lang w:eastAsia="zh-CN"/>
        </w:rPr>
        <w:t>签署日期:</w:t>
      </w:r>
    </w:p>
    <w:p>
      <w:pPr>
        <w:pStyle w:val="3"/>
        <w:bidi w:val="0"/>
        <w:jc w:val="center"/>
        <w:rPr>
          <w:rFonts w:hint="eastAsia" w:ascii="宋体" w:hAnsi="宋体" w:eastAsia="宋体" w:cs="宋体"/>
          <w:sz w:val="36"/>
          <w:szCs w:val="36"/>
          <w:highlight w:val="none"/>
          <w:lang w:eastAsia="zh-CN"/>
        </w:rPr>
      </w:pPr>
      <w:bookmarkStart w:id="280" w:name="_Toc15520"/>
      <w:bookmarkStart w:id="281" w:name="_Toc12546"/>
      <w:bookmarkStart w:id="282" w:name="_Toc19658"/>
      <w:r>
        <w:rPr>
          <w:rFonts w:hint="eastAsia" w:ascii="宋体" w:hAnsi="宋体" w:eastAsia="宋体" w:cs="宋体"/>
          <w:sz w:val="36"/>
          <w:szCs w:val="36"/>
          <w:highlight w:val="none"/>
          <w:lang w:eastAsia="zh-CN"/>
        </w:rPr>
        <w:t>供应商认为有必要说明的其他文件资料</w:t>
      </w:r>
      <w:bookmarkEnd w:id="280"/>
      <w:bookmarkEnd w:id="281"/>
      <w:bookmarkEnd w:id="282"/>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highlight w:val="none"/>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84</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highlight w:val="none"/>
        <w:lang w:eastAsia="zh-CN"/>
      </w:rPr>
      <w:t>广州农村产权交易所有限公司编制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separate"/>
    </w:r>
    <w:r>
      <w:rPr>
        <w:rFonts w:ascii="宋体" w:hAnsi="宋体" w:eastAsia="宋体" w:cs="宋体"/>
        <w:sz w:val="18"/>
        <w:lang w:eastAsia="zh-CN"/>
      </w:rPr>
      <w:t>19</w: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68</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广州农村产权交易所有限公司编制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separate"/>
    </w:r>
    <w:r>
      <w:rPr>
        <w:rFonts w:ascii="宋体" w:hAnsi="宋体" w:eastAsia="宋体" w:cs="宋体"/>
        <w:sz w:val="18"/>
        <w:lang w:eastAsia="zh-CN"/>
      </w:rPr>
      <w:t>51</w: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68</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广州农村产权交易所有限公司编制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hint="eastAsia" w:ascii="宋体" w:hAnsi="宋体" w:eastAsia="宋体" w:cs="宋体"/>
        <w:sz w:val="18"/>
        <w:lang w:val="en-US" w:eastAsia="zh-CN"/>
      </w:rPr>
    </w:pPr>
    <w:r>
      <w:rPr>
        <w:rFonts w:ascii="宋体" w:hAnsi="宋体" w:eastAsia="宋体" w:cs="宋体"/>
        <w:sz w:val="18"/>
        <w:lang w:eastAsia="zh-CN"/>
      </w:rPr>
      <w:t>广州农村产权交易所有限</w:t>
    </w:r>
    <w:r>
      <w:rPr>
        <w:rFonts w:ascii="宋体" w:hAnsi="宋体" w:eastAsia="宋体" w:cs="宋体"/>
        <w:sz w:val="18"/>
        <w:highlight w:val="none"/>
        <w:lang w:eastAsia="zh-CN"/>
      </w:rPr>
      <w:t>公司</w:t>
    </w:r>
    <w:r>
      <w:rPr>
        <w:rFonts w:hint="eastAsia" w:ascii="宋体" w:hAnsi="宋体" w:eastAsia="宋体" w:cs="宋体"/>
        <w:sz w:val="18"/>
        <w:highlight w:val="none"/>
        <w:lang w:val="en-US" w:eastAsia="zh-CN"/>
      </w:rPr>
      <w:t>协商文件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eastAsia="宋体" w:cs="宋体"/>
        <w:sz w:val="18"/>
        <w:u w:val="none"/>
        <w:lang w:eastAsia="zh-CN"/>
      </w:rPr>
    </w:pPr>
    <w:r>
      <w:rPr>
        <w:rFonts w:ascii="宋体" w:hAnsi="宋体" w:eastAsia="宋体" w:cs="宋体"/>
        <w:sz w:val="18"/>
        <w:u w:val="none"/>
        <w:lang w:eastAsia="zh-CN"/>
      </w:rPr>
      <w:t>广州农村产权交易所有限</w:t>
    </w:r>
    <w:r>
      <w:rPr>
        <w:rFonts w:ascii="宋体" w:hAnsi="宋体" w:eastAsia="宋体" w:cs="宋体"/>
        <w:sz w:val="18"/>
        <w:highlight w:val="none"/>
        <w:u w:val="none"/>
        <w:lang w:eastAsia="zh-CN"/>
      </w:rPr>
      <w:t>公司</w:t>
    </w:r>
    <w:r>
      <w:rPr>
        <w:rFonts w:hint="eastAsia" w:ascii="宋体" w:hAnsi="宋体" w:eastAsia="宋体" w:cs="宋体"/>
        <w:sz w:val="18"/>
        <w:highlight w:val="none"/>
        <w:u w:val="none"/>
        <w:lang w:val="en-US" w:eastAsia="zh-CN"/>
      </w:rPr>
      <w:t>协商文件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rPr>
        <w:rFonts w:ascii="宋体" w:hAnsi="宋体" w:eastAsia="宋体" w:cs="宋体"/>
        <w:sz w:val="18"/>
        <w:lang w:eastAsia="zh-CN"/>
      </w:rPr>
    </w:pPr>
    <w:r>
      <w:rPr>
        <w:rFonts w:ascii="宋体" w:hAnsi="宋体" w:eastAsia="宋体" w:cs="宋体"/>
        <w:sz w:val="18"/>
        <w:lang w:eastAsia="zh-CN"/>
      </w:rPr>
      <w:t>广州农村产权交易所有限</w:t>
    </w:r>
    <w:r>
      <w:rPr>
        <w:rFonts w:ascii="宋体" w:hAnsi="宋体" w:eastAsia="宋体" w:cs="宋体"/>
        <w:sz w:val="18"/>
        <w:highlight w:val="none"/>
        <w:lang w:eastAsia="zh-CN"/>
      </w:rPr>
      <w:t>公司</w:t>
    </w:r>
    <w:r>
      <w:rPr>
        <w:rFonts w:hint="eastAsia" w:ascii="宋体" w:hAnsi="宋体" w:eastAsia="宋体" w:cs="宋体"/>
        <w:sz w:val="18"/>
        <w:highlight w:val="none"/>
        <w:lang w:val="en-US" w:eastAsia="zh-CN"/>
      </w:rPr>
      <w:t>协商文件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6DB41"/>
    <w:multiLevelType w:val="singleLevel"/>
    <w:tmpl w:val="BFB6DB41"/>
    <w:lvl w:ilvl="0" w:tentative="0">
      <w:start w:val="5"/>
      <w:numFmt w:val="upperLetter"/>
      <w:suff w:val="nothing"/>
      <w:lvlText w:val="%1-"/>
      <w:lvlJc w:val="left"/>
    </w:lvl>
  </w:abstractNum>
  <w:abstractNum w:abstractNumId="1">
    <w:nsid w:val="56CBEE17"/>
    <w:multiLevelType w:val="singleLevel"/>
    <w:tmpl w:val="56CBEE17"/>
    <w:lvl w:ilvl="0" w:tentative="0">
      <w:start w:val="1"/>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MDk4NGE2OTUxYTI5MjljZjIyYmMyZTBjYjRhYzUifQ=="/>
  </w:docVars>
  <w:rsids>
    <w:rsidRoot w:val="003C58E8"/>
    <w:rsid w:val="00004763"/>
    <w:rsid w:val="00056FE7"/>
    <w:rsid w:val="000C0FE0"/>
    <w:rsid w:val="000D4890"/>
    <w:rsid w:val="00111A6A"/>
    <w:rsid w:val="00112156"/>
    <w:rsid w:val="0012374F"/>
    <w:rsid w:val="001358F0"/>
    <w:rsid w:val="001803B1"/>
    <w:rsid w:val="00184F85"/>
    <w:rsid w:val="001910B6"/>
    <w:rsid w:val="00192EA5"/>
    <w:rsid w:val="001E6B65"/>
    <w:rsid w:val="00262912"/>
    <w:rsid w:val="00280BE7"/>
    <w:rsid w:val="002A5EA1"/>
    <w:rsid w:val="002B115B"/>
    <w:rsid w:val="002B3DAC"/>
    <w:rsid w:val="002B6793"/>
    <w:rsid w:val="002C04FA"/>
    <w:rsid w:val="002D2409"/>
    <w:rsid w:val="002D369B"/>
    <w:rsid w:val="002F668E"/>
    <w:rsid w:val="00316C88"/>
    <w:rsid w:val="00326564"/>
    <w:rsid w:val="003438CD"/>
    <w:rsid w:val="003544C1"/>
    <w:rsid w:val="003619B3"/>
    <w:rsid w:val="00363F0E"/>
    <w:rsid w:val="00364AE7"/>
    <w:rsid w:val="00371384"/>
    <w:rsid w:val="00372AD6"/>
    <w:rsid w:val="00381545"/>
    <w:rsid w:val="00383BAF"/>
    <w:rsid w:val="00396062"/>
    <w:rsid w:val="00396F84"/>
    <w:rsid w:val="003C58E8"/>
    <w:rsid w:val="004175F3"/>
    <w:rsid w:val="004303A8"/>
    <w:rsid w:val="00445E5C"/>
    <w:rsid w:val="004519F0"/>
    <w:rsid w:val="00464094"/>
    <w:rsid w:val="00495111"/>
    <w:rsid w:val="004C25AF"/>
    <w:rsid w:val="004F0ED4"/>
    <w:rsid w:val="0051709F"/>
    <w:rsid w:val="00524466"/>
    <w:rsid w:val="005669A8"/>
    <w:rsid w:val="005731C9"/>
    <w:rsid w:val="0058575C"/>
    <w:rsid w:val="005B2E97"/>
    <w:rsid w:val="005C575C"/>
    <w:rsid w:val="005E7973"/>
    <w:rsid w:val="0060232A"/>
    <w:rsid w:val="00655AFA"/>
    <w:rsid w:val="006E1EC4"/>
    <w:rsid w:val="006F1C5D"/>
    <w:rsid w:val="006F549E"/>
    <w:rsid w:val="00706062"/>
    <w:rsid w:val="00722CBB"/>
    <w:rsid w:val="00743681"/>
    <w:rsid w:val="007751B8"/>
    <w:rsid w:val="00787864"/>
    <w:rsid w:val="007946C5"/>
    <w:rsid w:val="007C6473"/>
    <w:rsid w:val="007D3EDD"/>
    <w:rsid w:val="007E73E0"/>
    <w:rsid w:val="007E7B14"/>
    <w:rsid w:val="008039FF"/>
    <w:rsid w:val="00832BDF"/>
    <w:rsid w:val="008675A0"/>
    <w:rsid w:val="0089124F"/>
    <w:rsid w:val="00893A27"/>
    <w:rsid w:val="008A09EF"/>
    <w:rsid w:val="008A18F5"/>
    <w:rsid w:val="008D2E8B"/>
    <w:rsid w:val="008E4B1A"/>
    <w:rsid w:val="008E54BE"/>
    <w:rsid w:val="008F2600"/>
    <w:rsid w:val="009547A1"/>
    <w:rsid w:val="00960AEB"/>
    <w:rsid w:val="009807E9"/>
    <w:rsid w:val="009C45DB"/>
    <w:rsid w:val="009C7ABC"/>
    <w:rsid w:val="009D04FF"/>
    <w:rsid w:val="009E1CD4"/>
    <w:rsid w:val="00A04D8A"/>
    <w:rsid w:val="00A06D50"/>
    <w:rsid w:val="00A214CD"/>
    <w:rsid w:val="00A2660B"/>
    <w:rsid w:val="00A56C66"/>
    <w:rsid w:val="00A65DD7"/>
    <w:rsid w:val="00A80CF1"/>
    <w:rsid w:val="00AA1C9D"/>
    <w:rsid w:val="00AB2588"/>
    <w:rsid w:val="00AE00A4"/>
    <w:rsid w:val="00B140E3"/>
    <w:rsid w:val="00B6301D"/>
    <w:rsid w:val="00B67861"/>
    <w:rsid w:val="00BB1D6D"/>
    <w:rsid w:val="00BB4979"/>
    <w:rsid w:val="00BE27CF"/>
    <w:rsid w:val="00C12614"/>
    <w:rsid w:val="00C83E15"/>
    <w:rsid w:val="00C847AB"/>
    <w:rsid w:val="00CC5FC2"/>
    <w:rsid w:val="00CF0E80"/>
    <w:rsid w:val="00D01280"/>
    <w:rsid w:val="00D02836"/>
    <w:rsid w:val="00D07D29"/>
    <w:rsid w:val="00D404F8"/>
    <w:rsid w:val="00D4114B"/>
    <w:rsid w:val="00D464A0"/>
    <w:rsid w:val="00D76A2D"/>
    <w:rsid w:val="00E41DBD"/>
    <w:rsid w:val="00E707D7"/>
    <w:rsid w:val="00E71C91"/>
    <w:rsid w:val="00E92CB1"/>
    <w:rsid w:val="00EA630B"/>
    <w:rsid w:val="00EE391A"/>
    <w:rsid w:val="00F2417E"/>
    <w:rsid w:val="00F32B20"/>
    <w:rsid w:val="00F41D83"/>
    <w:rsid w:val="00F5282D"/>
    <w:rsid w:val="00F639C7"/>
    <w:rsid w:val="00F8031E"/>
    <w:rsid w:val="00F82587"/>
    <w:rsid w:val="00F90BD7"/>
    <w:rsid w:val="00FA0D71"/>
    <w:rsid w:val="010779FA"/>
    <w:rsid w:val="013443A7"/>
    <w:rsid w:val="01845684"/>
    <w:rsid w:val="01A329B0"/>
    <w:rsid w:val="0230770D"/>
    <w:rsid w:val="02666B88"/>
    <w:rsid w:val="02812655"/>
    <w:rsid w:val="030D7B65"/>
    <w:rsid w:val="03241D96"/>
    <w:rsid w:val="03534CEC"/>
    <w:rsid w:val="044D6A90"/>
    <w:rsid w:val="04686F65"/>
    <w:rsid w:val="04A67AF5"/>
    <w:rsid w:val="05B735F9"/>
    <w:rsid w:val="061524E6"/>
    <w:rsid w:val="0632735D"/>
    <w:rsid w:val="06496688"/>
    <w:rsid w:val="06EF450C"/>
    <w:rsid w:val="072B337E"/>
    <w:rsid w:val="07353FD4"/>
    <w:rsid w:val="07CF4467"/>
    <w:rsid w:val="07D3057C"/>
    <w:rsid w:val="082E53A9"/>
    <w:rsid w:val="0840752C"/>
    <w:rsid w:val="08525685"/>
    <w:rsid w:val="086F79EC"/>
    <w:rsid w:val="088A4419"/>
    <w:rsid w:val="08CF5D7D"/>
    <w:rsid w:val="091A09EA"/>
    <w:rsid w:val="09512A29"/>
    <w:rsid w:val="09555A43"/>
    <w:rsid w:val="09FF1896"/>
    <w:rsid w:val="0A3E2C40"/>
    <w:rsid w:val="0A460ED8"/>
    <w:rsid w:val="0A6428E0"/>
    <w:rsid w:val="0B013929"/>
    <w:rsid w:val="0C507F36"/>
    <w:rsid w:val="0C586FCE"/>
    <w:rsid w:val="0C600706"/>
    <w:rsid w:val="0CA47FC5"/>
    <w:rsid w:val="0CB62A41"/>
    <w:rsid w:val="0D982948"/>
    <w:rsid w:val="0DE40FFB"/>
    <w:rsid w:val="0E232CD6"/>
    <w:rsid w:val="0F362715"/>
    <w:rsid w:val="0FB0020F"/>
    <w:rsid w:val="0FC6108C"/>
    <w:rsid w:val="104966E4"/>
    <w:rsid w:val="10857BC3"/>
    <w:rsid w:val="10F25D7A"/>
    <w:rsid w:val="119F7CEE"/>
    <w:rsid w:val="11E757FE"/>
    <w:rsid w:val="12046EEF"/>
    <w:rsid w:val="12840C9A"/>
    <w:rsid w:val="12CE03C4"/>
    <w:rsid w:val="12F80A13"/>
    <w:rsid w:val="14000D77"/>
    <w:rsid w:val="14060DE1"/>
    <w:rsid w:val="14443D50"/>
    <w:rsid w:val="14697BE1"/>
    <w:rsid w:val="14C44F8A"/>
    <w:rsid w:val="151B501F"/>
    <w:rsid w:val="15903A0F"/>
    <w:rsid w:val="15B12A9D"/>
    <w:rsid w:val="17EF775F"/>
    <w:rsid w:val="180B2EA6"/>
    <w:rsid w:val="181F7744"/>
    <w:rsid w:val="190B4B9A"/>
    <w:rsid w:val="192B0C60"/>
    <w:rsid w:val="198511DA"/>
    <w:rsid w:val="19F4576D"/>
    <w:rsid w:val="1A1C02CA"/>
    <w:rsid w:val="1A57308A"/>
    <w:rsid w:val="1ADB63CE"/>
    <w:rsid w:val="1B697538"/>
    <w:rsid w:val="1B8A094D"/>
    <w:rsid w:val="1BD76879"/>
    <w:rsid w:val="1BFF298E"/>
    <w:rsid w:val="1C036B3B"/>
    <w:rsid w:val="1C4B0217"/>
    <w:rsid w:val="1D4D7297"/>
    <w:rsid w:val="1D637722"/>
    <w:rsid w:val="1D8B04B4"/>
    <w:rsid w:val="1E180A71"/>
    <w:rsid w:val="1E3E4C49"/>
    <w:rsid w:val="1E446C14"/>
    <w:rsid w:val="1F077D69"/>
    <w:rsid w:val="1FD57EC6"/>
    <w:rsid w:val="21360A60"/>
    <w:rsid w:val="21EC48AC"/>
    <w:rsid w:val="2248325C"/>
    <w:rsid w:val="228F6F28"/>
    <w:rsid w:val="230A14EE"/>
    <w:rsid w:val="235238D0"/>
    <w:rsid w:val="23A009F6"/>
    <w:rsid w:val="23B81623"/>
    <w:rsid w:val="23F60B0D"/>
    <w:rsid w:val="24220250"/>
    <w:rsid w:val="24294D56"/>
    <w:rsid w:val="242C731C"/>
    <w:rsid w:val="24EC6AC8"/>
    <w:rsid w:val="255D2E24"/>
    <w:rsid w:val="25802C88"/>
    <w:rsid w:val="259C0C61"/>
    <w:rsid w:val="25AD09C4"/>
    <w:rsid w:val="263E5121"/>
    <w:rsid w:val="26D47B91"/>
    <w:rsid w:val="275025FE"/>
    <w:rsid w:val="27782607"/>
    <w:rsid w:val="27B0472C"/>
    <w:rsid w:val="285A604B"/>
    <w:rsid w:val="28C97412"/>
    <w:rsid w:val="28E77B48"/>
    <w:rsid w:val="292A1033"/>
    <w:rsid w:val="29DB1417"/>
    <w:rsid w:val="29E94956"/>
    <w:rsid w:val="2A12596D"/>
    <w:rsid w:val="2A720B27"/>
    <w:rsid w:val="2A741800"/>
    <w:rsid w:val="2A8112C5"/>
    <w:rsid w:val="2AA307B8"/>
    <w:rsid w:val="2B6D2AED"/>
    <w:rsid w:val="2B786611"/>
    <w:rsid w:val="2BA40A2A"/>
    <w:rsid w:val="2D641E7C"/>
    <w:rsid w:val="2D6B51E2"/>
    <w:rsid w:val="2D792358"/>
    <w:rsid w:val="2D834DCB"/>
    <w:rsid w:val="2E42762B"/>
    <w:rsid w:val="2EE13CB4"/>
    <w:rsid w:val="2EF41BE3"/>
    <w:rsid w:val="2F771DF4"/>
    <w:rsid w:val="2FA37534"/>
    <w:rsid w:val="31C3435E"/>
    <w:rsid w:val="31C545FB"/>
    <w:rsid w:val="32043FA2"/>
    <w:rsid w:val="32BD3D6E"/>
    <w:rsid w:val="33120A69"/>
    <w:rsid w:val="33480852"/>
    <w:rsid w:val="33894024"/>
    <w:rsid w:val="3477758D"/>
    <w:rsid w:val="347C09A3"/>
    <w:rsid w:val="380C6F43"/>
    <w:rsid w:val="38223BDE"/>
    <w:rsid w:val="389727C5"/>
    <w:rsid w:val="39434E89"/>
    <w:rsid w:val="397279D1"/>
    <w:rsid w:val="3A132B8D"/>
    <w:rsid w:val="3A9D5280"/>
    <w:rsid w:val="3AD232E0"/>
    <w:rsid w:val="3B1448A3"/>
    <w:rsid w:val="3B4922AD"/>
    <w:rsid w:val="3B931A27"/>
    <w:rsid w:val="3BB17855"/>
    <w:rsid w:val="3BC772B6"/>
    <w:rsid w:val="3C886615"/>
    <w:rsid w:val="3C9C20F5"/>
    <w:rsid w:val="3D5E4B1A"/>
    <w:rsid w:val="3D7E6947"/>
    <w:rsid w:val="3E3D71B9"/>
    <w:rsid w:val="3E492A4C"/>
    <w:rsid w:val="3E645878"/>
    <w:rsid w:val="3E674631"/>
    <w:rsid w:val="3ED4755A"/>
    <w:rsid w:val="3F0A537A"/>
    <w:rsid w:val="3F531569"/>
    <w:rsid w:val="3F7877A9"/>
    <w:rsid w:val="3F7F69F5"/>
    <w:rsid w:val="3F85334D"/>
    <w:rsid w:val="3FAD2480"/>
    <w:rsid w:val="3FAD331F"/>
    <w:rsid w:val="401A0828"/>
    <w:rsid w:val="40ED66CA"/>
    <w:rsid w:val="41AC04BB"/>
    <w:rsid w:val="421F6D02"/>
    <w:rsid w:val="428613D5"/>
    <w:rsid w:val="42C11008"/>
    <w:rsid w:val="42D54831"/>
    <w:rsid w:val="43404169"/>
    <w:rsid w:val="43875261"/>
    <w:rsid w:val="43BA656B"/>
    <w:rsid w:val="445509D1"/>
    <w:rsid w:val="44677EF7"/>
    <w:rsid w:val="452D0C7D"/>
    <w:rsid w:val="45A675E6"/>
    <w:rsid w:val="46617EE1"/>
    <w:rsid w:val="46FE6F53"/>
    <w:rsid w:val="47DB7BC9"/>
    <w:rsid w:val="47FA5045"/>
    <w:rsid w:val="48C7414F"/>
    <w:rsid w:val="48EF7F45"/>
    <w:rsid w:val="490610E9"/>
    <w:rsid w:val="49187C84"/>
    <w:rsid w:val="4A122593"/>
    <w:rsid w:val="4B0B130D"/>
    <w:rsid w:val="4B207323"/>
    <w:rsid w:val="4CCC1917"/>
    <w:rsid w:val="4D4C0F27"/>
    <w:rsid w:val="4E177746"/>
    <w:rsid w:val="4E39630E"/>
    <w:rsid w:val="4F4273B7"/>
    <w:rsid w:val="4FBF7C3F"/>
    <w:rsid w:val="4FE822A8"/>
    <w:rsid w:val="508A1B76"/>
    <w:rsid w:val="50DE0410"/>
    <w:rsid w:val="51356820"/>
    <w:rsid w:val="51484FD3"/>
    <w:rsid w:val="51A32F65"/>
    <w:rsid w:val="520F0A96"/>
    <w:rsid w:val="52A52761"/>
    <w:rsid w:val="53EE7631"/>
    <w:rsid w:val="543D11F8"/>
    <w:rsid w:val="54AC0DA7"/>
    <w:rsid w:val="54B07A67"/>
    <w:rsid w:val="54B147A4"/>
    <w:rsid w:val="55197ACC"/>
    <w:rsid w:val="555053AE"/>
    <w:rsid w:val="559A77CF"/>
    <w:rsid w:val="55F007CD"/>
    <w:rsid w:val="55F03930"/>
    <w:rsid w:val="56204113"/>
    <w:rsid w:val="56836E03"/>
    <w:rsid w:val="569A215F"/>
    <w:rsid w:val="57363021"/>
    <w:rsid w:val="573D01B7"/>
    <w:rsid w:val="577E0424"/>
    <w:rsid w:val="58B86690"/>
    <w:rsid w:val="5A0C65FA"/>
    <w:rsid w:val="5A114086"/>
    <w:rsid w:val="5B6D5E18"/>
    <w:rsid w:val="5C6106D8"/>
    <w:rsid w:val="5CCD1D02"/>
    <w:rsid w:val="5CE875C0"/>
    <w:rsid w:val="5D281FCE"/>
    <w:rsid w:val="5DE342F0"/>
    <w:rsid w:val="5DF54629"/>
    <w:rsid w:val="5E5F3DD5"/>
    <w:rsid w:val="5EDD277F"/>
    <w:rsid w:val="5F5A2FB3"/>
    <w:rsid w:val="608C7BA3"/>
    <w:rsid w:val="60D022D8"/>
    <w:rsid w:val="61443E6D"/>
    <w:rsid w:val="6173759F"/>
    <w:rsid w:val="6196626D"/>
    <w:rsid w:val="61CA503B"/>
    <w:rsid w:val="623A6623"/>
    <w:rsid w:val="62E77FA5"/>
    <w:rsid w:val="63475815"/>
    <w:rsid w:val="63575556"/>
    <w:rsid w:val="637229AB"/>
    <w:rsid w:val="65235BE8"/>
    <w:rsid w:val="6531272F"/>
    <w:rsid w:val="6622437B"/>
    <w:rsid w:val="666539FB"/>
    <w:rsid w:val="66841E1D"/>
    <w:rsid w:val="669B2419"/>
    <w:rsid w:val="66C444C7"/>
    <w:rsid w:val="66E26127"/>
    <w:rsid w:val="66F308EF"/>
    <w:rsid w:val="67043A29"/>
    <w:rsid w:val="679A527E"/>
    <w:rsid w:val="679E27C8"/>
    <w:rsid w:val="6875589F"/>
    <w:rsid w:val="68ED34DB"/>
    <w:rsid w:val="691A2758"/>
    <w:rsid w:val="693D510D"/>
    <w:rsid w:val="6A55678A"/>
    <w:rsid w:val="6A670806"/>
    <w:rsid w:val="6A69137E"/>
    <w:rsid w:val="6B3F26F4"/>
    <w:rsid w:val="6B815AD4"/>
    <w:rsid w:val="6B9E1E49"/>
    <w:rsid w:val="6BB41376"/>
    <w:rsid w:val="6BBC30F9"/>
    <w:rsid w:val="6BC90EF3"/>
    <w:rsid w:val="6C7A66EF"/>
    <w:rsid w:val="6D242ABA"/>
    <w:rsid w:val="6D432AF6"/>
    <w:rsid w:val="6F286F8A"/>
    <w:rsid w:val="6F3F52B6"/>
    <w:rsid w:val="6F496782"/>
    <w:rsid w:val="6F770F0B"/>
    <w:rsid w:val="6F88265D"/>
    <w:rsid w:val="708E720F"/>
    <w:rsid w:val="713B2559"/>
    <w:rsid w:val="71621959"/>
    <w:rsid w:val="716D2F80"/>
    <w:rsid w:val="718949B0"/>
    <w:rsid w:val="719B0A84"/>
    <w:rsid w:val="7220729F"/>
    <w:rsid w:val="723A20B9"/>
    <w:rsid w:val="723F4FDA"/>
    <w:rsid w:val="728966B4"/>
    <w:rsid w:val="729725B0"/>
    <w:rsid w:val="72D043AB"/>
    <w:rsid w:val="73210E4C"/>
    <w:rsid w:val="732F5DFF"/>
    <w:rsid w:val="735532AB"/>
    <w:rsid w:val="743E7E16"/>
    <w:rsid w:val="753520BF"/>
    <w:rsid w:val="75AF3FAA"/>
    <w:rsid w:val="76DF3D0F"/>
    <w:rsid w:val="773655A4"/>
    <w:rsid w:val="775A26F5"/>
    <w:rsid w:val="77CB0B21"/>
    <w:rsid w:val="780D5425"/>
    <w:rsid w:val="78EA1F04"/>
    <w:rsid w:val="790F1062"/>
    <w:rsid w:val="791D7C4B"/>
    <w:rsid w:val="7A4725DB"/>
    <w:rsid w:val="7A8D620D"/>
    <w:rsid w:val="7B410109"/>
    <w:rsid w:val="7B45727B"/>
    <w:rsid w:val="7B4A6F94"/>
    <w:rsid w:val="7B9A711C"/>
    <w:rsid w:val="7BFC20F3"/>
    <w:rsid w:val="7CD5775D"/>
    <w:rsid w:val="7D056E65"/>
    <w:rsid w:val="7D2F43E8"/>
    <w:rsid w:val="7D681F9F"/>
    <w:rsid w:val="7D9822B2"/>
    <w:rsid w:val="7E535352"/>
    <w:rsid w:val="7E7E0822"/>
    <w:rsid w:val="7EBE414D"/>
    <w:rsid w:val="7EE645D3"/>
    <w:rsid w:val="7F846F1D"/>
    <w:rsid w:val="7FB4038B"/>
    <w:rsid w:val="7FD0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3">
    <w:name w:val="heading 1"/>
    <w:basedOn w:val="1"/>
    <w:next w:val="1"/>
    <w:qFormat/>
    <w:uiPriority w:val="0"/>
    <w:pPr>
      <w:keepNext/>
      <w:spacing w:before="240" w:after="60"/>
      <w:outlineLvl w:val="0"/>
    </w:pPr>
    <w:rPr>
      <w:rFonts w:eastAsia="Times New Roman"/>
      <w:b/>
      <w:bCs/>
      <w:kern w:val="36"/>
      <w:sz w:val="48"/>
      <w:szCs w:val="48"/>
    </w:rPr>
  </w:style>
  <w:style w:type="paragraph" w:styleId="4">
    <w:name w:val="heading 2"/>
    <w:basedOn w:val="1"/>
    <w:next w:val="1"/>
    <w:link w:val="31"/>
    <w:qFormat/>
    <w:uiPriority w:val="0"/>
    <w:pPr>
      <w:keepNext/>
      <w:spacing w:before="240" w:after="60"/>
      <w:outlineLvl w:val="1"/>
    </w:pPr>
    <w:rPr>
      <w:rFonts w:eastAsia="Times New Roman"/>
      <w:b/>
      <w:bCs/>
      <w:iCs/>
      <w:sz w:val="36"/>
      <w:szCs w:val="36"/>
    </w:rPr>
  </w:style>
  <w:style w:type="paragraph" w:styleId="5">
    <w:name w:val="heading 3"/>
    <w:basedOn w:val="1"/>
    <w:next w:val="1"/>
    <w:qFormat/>
    <w:uiPriority w:val="0"/>
    <w:pPr>
      <w:keepNext/>
      <w:spacing w:before="240" w:after="60"/>
      <w:outlineLvl w:val="2"/>
    </w:pPr>
    <w:rPr>
      <w:rFonts w:eastAsia="Times New Roman"/>
      <w:b/>
      <w:bCs/>
      <w:sz w:val="28"/>
      <w:szCs w:val="28"/>
    </w:rPr>
  </w:style>
  <w:style w:type="paragraph" w:styleId="6">
    <w:name w:val="heading 4"/>
    <w:basedOn w:val="1"/>
    <w:next w:val="1"/>
    <w:qFormat/>
    <w:uiPriority w:val="0"/>
    <w:pPr>
      <w:keepNext/>
      <w:spacing w:before="240" w:after="60"/>
      <w:outlineLvl w:val="3"/>
    </w:pPr>
    <w:rPr>
      <w:rFonts w:eastAsia="Times New Roman"/>
      <w:b/>
      <w:bCs/>
    </w:rPr>
  </w:style>
  <w:style w:type="paragraph" w:styleId="7">
    <w:name w:val="heading 5"/>
    <w:basedOn w:val="1"/>
    <w:next w:val="1"/>
    <w:qFormat/>
    <w:uiPriority w:val="0"/>
    <w:pPr>
      <w:spacing w:before="240" w:after="60"/>
      <w:outlineLvl w:val="4"/>
    </w:pPr>
    <w:rPr>
      <w:rFonts w:eastAsia="Times New Roman"/>
      <w:b/>
      <w:bCs/>
      <w:iCs/>
      <w:sz w:val="20"/>
      <w:szCs w:val="20"/>
    </w:rPr>
  </w:style>
  <w:style w:type="paragraph" w:styleId="8">
    <w:name w:val="heading 6"/>
    <w:basedOn w:val="1"/>
    <w:next w:val="1"/>
    <w:qFormat/>
    <w:uiPriority w:val="0"/>
    <w:pPr>
      <w:spacing w:before="240" w:after="60"/>
      <w:outlineLvl w:val="5"/>
    </w:pPr>
    <w:rPr>
      <w:rFonts w:eastAsia="Times New Roman"/>
      <w:b/>
      <w:bCs/>
      <w:sz w:val="16"/>
      <w:szCs w:val="1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rFonts w:ascii="Calibri" w:hAnsi="Calibri"/>
    </w:rPr>
  </w:style>
  <w:style w:type="paragraph" w:styleId="9">
    <w:name w:val="annotation text"/>
    <w:basedOn w:val="1"/>
    <w:semiHidden/>
    <w:unhideWhenUsed/>
    <w:qFormat/>
    <w:uiPriority w:val="99"/>
    <w:pPr>
      <w:jc w:val="left"/>
    </w:pPr>
  </w:style>
  <w:style w:type="paragraph" w:styleId="10">
    <w:name w:val="toc 3"/>
    <w:basedOn w:val="1"/>
    <w:next w:val="1"/>
    <w:semiHidden/>
    <w:unhideWhenUsed/>
    <w:qFormat/>
    <w:uiPriority w:val="39"/>
    <w:pPr>
      <w:ind w:left="840" w:leftChars="400"/>
    </w:pPr>
  </w:style>
  <w:style w:type="paragraph" w:styleId="11">
    <w:name w:val="Balloon Text"/>
    <w:basedOn w:val="1"/>
    <w:link w:val="32"/>
    <w:semiHidden/>
    <w:unhideWhenUsed/>
    <w:qFormat/>
    <w:uiPriority w:val="99"/>
    <w:rPr>
      <w:sz w:val="18"/>
      <w:szCs w:val="18"/>
    </w:rPr>
  </w:style>
  <w:style w:type="paragraph" w:styleId="12">
    <w:name w:val="footer"/>
    <w:basedOn w:val="1"/>
    <w:link w:val="30"/>
    <w:semiHidden/>
    <w:unhideWhenUsed/>
    <w:qFormat/>
    <w:uiPriority w:val="99"/>
    <w:pPr>
      <w:tabs>
        <w:tab w:val="center" w:pos="4153"/>
        <w:tab w:val="right" w:pos="8306"/>
      </w:tabs>
      <w:snapToGrid w:val="0"/>
    </w:pPr>
    <w:rPr>
      <w:sz w:val="18"/>
      <w:szCs w:val="18"/>
    </w:rPr>
  </w:style>
  <w:style w:type="paragraph" w:styleId="13">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Subtitle"/>
    <w:basedOn w:val="1"/>
    <w:next w:val="1"/>
    <w:qFormat/>
    <w:uiPriority w:val="11"/>
    <w:pPr>
      <w:spacing w:before="240" w:after="60" w:line="312" w:lineRule="auto"/>
      <w:jc w:val="center"/>
      <w:outlineLvl w:val="1"/>
    </w:pPr>
    <w:rPr>
      <w:rFonts w:eastAsiaTheme="minorEastAsia"/>
      <w:b/>
      <w:bCs/>
      <w:kern w:val="28"/>
      <w:sz w:val="32"/>
      <w:szCs w:val="32"/>
    </w:rPr>
  </w:style>
  <w:style w:type="paragraph" w:styleId="16">
    <w:name w:val="toc 2"/>
    <w:basedOn w:val="1"/>
    <w:next w:val="1"/>
    <w:qFormat/>
    <w:uiPriority w:val="39"/>
    <w:pPr>
      <w:ind w:left="240"/>
    </w:pPr>
  </w:style>
  <w:style w:type="paragraph" w:styleId="17">
    <w:name w:val="Normal (Web)"/>
    <w:basedOn w:val="1"/>
    <w:semiHidden/>
    <w:unhideWhenUsed/>
    <w:qFormat/>
    <w:uiPriority w:val="99"/>
    <w:pPr>
      <w:widowControl/>
      <w:spacing w:line="360" w:lineRule="auto"/>
      <w:jc w:val="left"/>
    </w:pPr>
    <w:rPr>
      <w:rFonts w:ascii="宋体" w:hAnsi="宋体" w:cs="宋体"/>
      <w:kern w:val="0"/>
      <w:szCs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Hyperlink"/>
    <w:basedOn w:val="20"/>
    <w:qFormat/>
    <w:uiPriority w:val="99"/>
    <w:rPr>
      <w:color w:val="0000FF"/>
      <w:u w:val="single"/>
    </w:rPr>
  </w:style>
  <w:style w:type="character" w:customStyle="1" w:styleId="23">
    <w:name w:val="title text indent"/>
    <w:basedOn w:val="20"/>
    <w:qFormat/>
    <w:uiPriority w:val="0"/>
  </w:style>
  <w:style w:type="character" w:customStyle="1" w:styleId="24">
    <w:name w:val="small_title text"/>
    <w:basedOn w:val="20"/>
    <w:qFormat/>
    <w:uiPriority w:val="0"/>
  </w:style>
  <w:style w:type="character" w:customStyle="1" w:styleId="25">
    <w:name w:val="title text"/>
    <w:basedOn w:val="20"/>
    <w:qFormat/>
    <w:uiPriority w:val="0"/>
  </w:style>
  <w:style w:type="character" w:customStyle="1" w:styleId="26">
    <w:name w:val="span_a0"/>
    <w:basedOn w:val="20"/>
    <w:qFormat/>
    <w:uiPriority w:val="0"/>
  </w:style>
  <w:style w:type="paragraph" w:customStyle="1" w:styleId="27">
    <w:name w:val="DocDefaults"/>
    <w:basedOn w:val="1"/>
    <w:qFormat/>
    <w:uiPriority w:val="0"/>
    <w:pPr>
      <w:spacing w:line="276" w:lineRule="auto"/>
    </w:pPr>
    <w:rPr>
      <w:sz w:val="20"/>
      <w:szCs w:val="20"/>
    </w:rPr>
  </w:style>
  <w:style w:type="character" w:customStyle="1" w:styleId="28">
    <w:name w:val="2"/>
    <w:basedOn w:val="20"/>
    <w:qFormat/>
    <w:uiPriority w:val="0"/>
  </w:style>
  <w:style w:type="character" w:customStyle="1" w:styleId="29">
    <w:name w:val="页眉 Char"/>
    <w:basedOn w:val="20"/>
    <w:link w:val="13"/>
    <w:semiHidden/>
    <w:qFormat/>
    <w:uiPriority w:val="99"/>
    <w:rPr>
      <w:sz w:val="18"/>
      <w:szCs w:val="18"/>
    </w:rPr>
  </w:style>
  <w:style w:type="character" w:customStyle="1" w:styleId="30">
    <w:name w:val="页脚 Char"/>
    <w:basedOn w:val="20"/>
    <w:link w:val="12"/>
    <w:semiHidden/>
    <w:qFormat/>
    <w:uiPriority w:val="99"/>
    <w:rPr>
      <w:sz w:val="18"/>
      <w:szCs w:val="18"/>
    </w:rPr>
  </w:style>
  <w:style w:type="character" w:customStyle="1" w:styleId="31">
    <w:name w:val="标题 2 Char"/>
    <w:basedOn w:val="20"/>
    <w:link w:val="4"/>
    <w:qFormat/>
    <w:uiPriority w:val="0"/>
    <w:rPr>
      <w:rFonts w:eastAsia="Times New Roman"/>
      <w:b/>
      <w:bCs/>
      <w:iCs/>
      <w:sz w:val="36"/>
      <w:szCs w:val="36"/>
    </w:rPr>
  </w:style>
  <w:style w:type="character" w:customStyle="1" w:styleId="32">
    <w:name w:val="批注框文本 Char"/>
    <w:basedOn w:val="20"/>
    <w:link w:val="11"/>
    <w:semiHidden/>
    <w:qFormat/>
    <w:uiPriority w:val="99"/>
    <w:rPr>
      <w:sz w:val="18"/>
      <w:szCs w:val="18"/>
      <w:lang w:eastAsia="en-US"/>
    </w:rPr>
  </w:style>
  <w:style w:type="table" w:customStyle="1" w:styleId="33">
    <w:name w:val="网格型1"/>
    <w:basedOn w:val="18"/>
    <w:unhideWhenUsed/>
    <w:qFormat/>
    <w:uiPriority w:val="5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WPSOffice手动目录 1"/>
    <w:qFormat/>
    <w:uiPriority w:val="0"/>
    <w:pPr>
      <w:ind w:leftChars="0"/>
    </w:pPr>
    <w:rPr>
      <w:rFonts w:ascii="Times New Roman" w:hAnsi="Times New Roman" w:cs="Times New Roman" w:eastAsiaTheme="minorEastAsia"/>
      <w:sz w:val="20"/>
      <w:szCs w:val="20"/>
    </w:rPr>
  </w:style>
  <w:style w:type="paragraph" w:customStyle="1" w:styleId="35">
    <w:name w:val="WPSOffice手动目录 2"/>
    <w:qFormat/>
    <w:uiPriority w:val="0"/>
    <w:pPr>
      <w:ind w:leftChars="200"/>
    </w:pPr>
    <w:rPr>
      <w:rFonts w:ascii="Times New Roman" w:hAnsi="Times New Roman" w:cs="Times New Roman" w:eastAsiaTheme="minorEastAsia"/>
      <w:sz w:val="20"/>
      <w:szCs w:val="20"/>
    </w:rPr>
  </w:style>
  <w:style w:type="paragraph" w:customStyle="1" w:styleId="36">
    <w:name w:val="WPSOffice手动目录 3"/>
    <w:qFormat/>
    <w:uiPriority w:val="0"/>
    <w:pPr>
      <w:ind w:leftChars="400"/>
    </w:pPr>
    <w:rPr>
      <w:rFonts w:ascii="Times New Roman" w:hAnsi="Times New Roman" w:cs="Times New Roman" w:eastAsiaTheme="minorEastAsia"/>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18EF8-8E89-49B1-9265-0C170FDADC1C}">
  <ds:schemaRefs/>
</ds:datastoreItem>
</file>

<file path=docProps/app.xml><?xml version="1.0" encoding="utf-8"?>
<Properties xmlns="http://schemas.openxmlformats.org/officeDocument/2006/extended-properties" xmlns:vt="http://schemas.openxmlformats.org/officeDocument/2006/docPropsVTypes">
  <Template>Normal</Template>
  <Pages>48</Pages>
  <Words>20349</Words>
  <Characters>21568</Characters>
  <Lines>234</Lines>
  <Paragraphs>66</Paragraphs>
  <TotalTime>39</TotalTime>
  <ScaleCrop>false</ScaleCrop>
  <LinksUpToDate>false</LinksUpToDate>
  <CharactersWithSpaces>23224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2022-02-08T10:01:00Z</dcterms:created>
  <dc:creator>LuoMian</dc:creator>
  <cp:lastModifiedBy>陈赟楷</cp:lastModifiedBy>
  <cp:lastPrinted>2022-05-12T06:55:00Z</cp:lastPrinted>
  <dcterms:modified xsi:type="dcterms:W3CDTF">2022-05-14T09:52:15Z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6A8A47C2E30843D79C458FD9B680EFFA</vt:lpwstr>
  </property>
</Properties>
</file>